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UZASADNIENIE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Zgodnie z art. 28 ust. 1 ustawy z dnia 10 maja 2018 r. o Centralnym Porcie Komunikacyjnym (Dz. U. z 2024 r. poz. 1747, z późn. zm.), zwanej dalej „uCPK”, Rada Ministrów, w drodze rozporządzenia, może wskazać gminy lub ich części, na których terenie, w celu przygotowania obszaru Inwestycji oraz zapewnienia optymalnych warunków rozwoju społeczno-gospodarczego oraz przestrzennego na obszarze otoczenia Centralnego Portu Komunikacyjnego, stosowane będą szczególne zasady gospodarowania nieruchomościami, planowania i zagospodarowania przestrzennego oraz realizacji inwestycji określone w art. 29 uCPK, szczególne zasady nabywania nieruchomości określone w art. 29b uCPK lub szczególne zasady udostępniania nieruchomości na cele badań przyrodniczych określone w art. 29f uCPK.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postępami prac nad przygotowaniem i realizacją Programu</w:t>
      </w:r>
      <w:r>
        <w:rPr>
          <w:rFonts w:cs="Times New Roman" w:ascii="Times New Roman" w:hAnsi="Times New Roman"/>
          <w:iCs/>
          <w:sz w:val="24"/>
          <w:szCs w:val="24"/>
        </w:rPr>
        <w:t xml:space="preserve">, o którym mowa w art. 2 pkt 7 uCPK, zwanego dalej „Programem CPK”, proponuje się znowelizować dotychczas obowiązujące rozporządzenie Rady Ministrów z dnia 14 listopada 2022 r. w sprawie gmin, na których terenie będą stosowane szczególne zasady związane z realizacją inwestycji celu publicznego w zakresie Centralnego Portu Komunikacyjnego (Dz. U. poz. 2609) i rozszerzyć obszar stosowania szczególnych zasad dotyczących nieruchomości wynikających z uCPK </w:t>
      </w:r>
      <w:r>
        <w:rPr>
          <w:rFonts w:cs="Times New Roman" w:ascii="Times New Roman" w:hAnsi="Times New Roman"/>
          <w:sz w:val="24"/>
          <w:szCs w:val="24"/>
        </w:rPr>
        <w:t>m.in.</w:t>
      </w:r>
      <w:r>
        <w:rPr>
          <w:rFonts w:cs="Times New Roman" w:ascii="Times New Roman" w:hAnsi="Times New Roman"/>
          <w:iCs/>
          <w:sz w:val="24"/>
          <w:szCs w:val="24"/>
        </w:rPr>
        <w:t xml:space="preserve"> o te tereny, </w:t>
      </w:r>
      <w:r>
        <w:rPr>
          <w:rFonts w:cs="Times New Roman" w:ascii="Times New Roman" w:hAnsi="Times New Roman"/>
          <w:sz w:val="24"/>
          <w:szCs w:val="24"/>
        </w:rPr>
        <w:t xml:space="preserve">na których zlokalizowany ma być węzeł kolejowy CPK, stanowiący część Inwestycji, o której mowa w art. </w:t>
      </w:r>
      <w:r>
        <w:rPr>
          <w:rFonts w:cs="Times New Roman" w:ascii="Times New Roman" w:hAnsi="Times New Roman"/>
          <w:iCs/>
          <w:sz w:val="24"/>
          <w:szCs w:val="24"/>
        </w:rPr>
        <w:t xml:space="preserve">2 pkt 3 uCPK, bocznica paliwowa, węzeł drogowy i inne przedsięwzięcia stanowiące część Inwestycji, o której mowa w art. 2 pkt 3 uCPK, lub są konieczne dla zapewnienia optymalnych warunków rozwoju społeczno-gospodarczego oraz przestrzennego na obszarze otoczenia CPK.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Należy zauważyć, że ustawą z dnia 22 lipca 2022 r. o usprawnieniu procesu inwestycyjnego Centralnego Portu Komunikacyjnego (Dz. U. poz. 1846) wprowadzono m.in. znacznie korzystniejsze możliwości ustalania ceny nabycia nieruchomości, uprawniając Spółkę, o której mowa w art. 2 pkt 10 uCPK, zwaną dalej „Spółką Celową”, do zapłaty kwoty przewyższającej wartość rynkową nieruchomości, ustaloną w operacie szacunkowym. Innymi rozwiązaniami wprowadzonymi na podstawie tej ustawy, dogodnymi dla zbywających nieruchomości z terenu przyszłej Inwestycji, jest możliwość ustanowienia przez Spółkę Celową renty oraz </w:t>
      </w:r>
      <w:r>
        <w:rPr>
          <w:rFonts w:cs="Times New Roman" w:ascii="Times New Roman" w:hAnsi="Times New Roman"/>
          <w:bCs/>
          <w:sz w:val="24"/>
          <w:szCs w:val="24"/>
        </w:rPr>
        <w:t>wypłaty rekompensaty w związku ze spadkiem zdolności kredytowej zbywcy nieruchomości. Obszar, na którym stosowane są ww. szczególne zasady nabywania nieruchomości jest określony w akcie wykonawczym wydawanym na podstawie art. 28 ust. 1 uCPK.</w:t>
      </w: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Zatem w związku z intensywnym postępem prac dotyczących realizacji projektu Centralnego Portu Komunikacyjnego niezbędne jest znowelizowanie ww. rozporządzenia i umożliwienie szerszej grupie właścicieli nieruchomości położonych na obszarze planowanej Inwestycji skorzystania z rozwiązań wprowadzonych na podstawie ustawy z dnia 22 lipca 2022 r. o usprawnieniu procesu inwestycyjnego Centralnego Portu Komunikacyjnego. Należy podkreślić, że wynikający ze zmian wprowadzonych ww. ustawą tzw. Program Dobrowolnych Nabyć jest rozwiązaniem szczególnym, stanowiącym niespotykane dotąd w specustawach inwestycyjnych narzędzie mające na celu pozyskanie nieruchomości położonych na obszarze planowanej Inwestycji w drodze dwustronnych dobrowolnych umów. Rozwiązanie to pozwala na wcześniejsze nabywanie nieruchomości przy jednoczesnym uwzględnieniu potrzeb osób, których nieruchomości w związku z realizacją danej inwestycji są niezbędne do pozyskania – polega to m.in. na wsparciu przeprowadzki, możliwości czasowego korzystania z nieruchomości do czasu przeniesienia ośrodka życia w nowe miejsce, ustalaniu ceny zakupu powyżej wartości rynkowej danej nieruchomości.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Jednocześnie proponuje się rozszerzenie zastosowania szczególnych zasad</w:t>
      </w:r>
      <w:r>
        <w:rPr>
          <w:rFonts w:cs="Noto Serif" w:ascii="Noto Serif" w:hAnsi="Noto Serif"/>
          <w:color w:val="333333"/>
          <w:sz w:val="21"/>
          <w:szCs w:val="21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gospodarowania nieruchomościami, planowania i zagospodarowania przestrzennego oraz realizacji inwestycji, określonych w </w:t>
      </w:r>
      <w:r>
        <w:rPr>
          <w:rStyle w:val="Czeinternetowe"/>
          <w:rFonts w:cs="Times New Roman" w:ascii="Times New Roman" w:hAnsi="Times New Roman"/>
          <w:color w:val="auto"/>
          <w:sz w:val="24"/>
          <w:szCs w:val="24"/>
          <w:u w:val="none"/>
        </w:rPr>
        <w:t>art. 29</w:t>
      </w:r>
      <w:r>
        <w:rPr>
          <w:rFonts w:cs="Times New Roman" w:ascii="Times New Roman" w:hAnsi="Times New Roman"/>
          <w:bCs/>
          <w:sz w:val="24"/>
          <w:szCs w:val="24"/>
        </w:rPr>
        <w:t xml:space="preserve"> uCPK, czyli tzw. zakazów inwestycyjnych,</w:t>
      </w:r>
      <w:r>
        <w:rPr>
          <w:rFonts w:eastAsia="Calibri" w:cs="Times New Roman" w:ascii="Times New Roman" w:hAnsi="Times New Roman"/>
          <w:color w:val="000000"/>
          <w:spacing w:val="-2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w celu zabezpieczenia ładu przestrzennego oraz efektywnego przygotowania obszaru inwestycji i prawidłowego przebiegu procesu inwestycyjnego, w kontekście realizowanego projektu Centralnego Portu Komunikacyjnego. Należy zauważyć, że wprowadzanie ww. zakazów inwestycyjnych ma na celu ograniczenie kosztów społecznych i finansowych planowanej Inwestycji, tj. umożliwienie prywatnym inwestorom racjonalnego gospodarowania nieruchomościami położonymi na tym obszarze, w sposób eliminujący potencjalne kolizje inwestycji prywatnych z inwestycją celu publicznego. Należy jednocześnie podkreślić, że zgodnie z art. 28 ust. 3 uCPK przedmiotowe ograniczenia mają charakter czasowy i nie mogą być na danym obszarze wprowadzane na okres dłuższy niż 4 lata – tym samym ich wprowadzenie ma charakter wyłącznie prewencyjny i służy zapewnieniu ukierunkowania działań inwestycyjnych na danym obszarze w sposób zabezpieczający interes publiczny.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zakresie szczegółowych zmian wprowadzanych do rozporządzenia Rady Ministrów z dnia 14 listopada 2022 r. w sprawie gmin, na których terenie będą stosowane szczególne zasady związane z realizacją inwestycji celu publicznego w zakresie Centralnego Portu Komunikacyjnego: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zmiany w § 3 mają na celu rozszerzenie obszaru stosowania szczególnych zasad nabywania nieruchomości oraz szczególnych zasad gospodarowania nieruchomościami, planowania i zagospodarowania przestrzennego oraz realizacji inwestycji o części gmin Teresin, Baranów, Błonie, Jaktorów, Grodzisk Mazowiecki, Wiskitki oraz na określeniu granic tego obszaru w nowych załącznikach do nowelizowanego rozporządzenia, m.in. w zakresie </w:t>
      </w:r>
      <w:r>
        <w:rPr>
          <w:rFonts w:cs="Times New Roman" w:ascii="Times New Roman" w:hAnsi="Times New Roman"/>
          <w:bCs/>
          <w:sz w:val="24"/>
          <w:szCs w:val="24"/>
        </w:rPr>
        <w:t>bocznicy kolejowej LK nr 3 – CPK (pkt 2), węzła kolejowego CPK – LK nr 88 północny wschód (pkt 3), węzła kolejowego CPK - LK nr 85 wschód (pkt 4), węzła drogowego Izdebno (pkt 5),</w:t>
      </w:r>
      <w:r>
        <w:rPr>
          <w:rFonts w:eastAsia="ＭＳ 明朝" w:cs="Arial" w:ascii="Times New Roman" w:hAnsi="Times New Roman" w:eastAsiaTheme="minorEastAsia"/>
          <w:bCs/>
          <w:sz w:val="24"/>
          <w:szCs w:val="20"/>
          <w:lang w:eastAsia="pl-PL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węzła kolejowego CPK – LK nr 5 południowy wschód (pkt 6), skrzyżowania Cyganka (pkt 7);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dodawanym § 3a przewiduje się rozszerzenie obszaru stosowania szczególnych zasad gospodarowania nieruchomościami, planowania i zagospodarowania przestrzennego oraz realizacji inwestycji na obszar części gmin Teresin, Sochaczew (gm. wiejska i miasto) i Kampinos (LK nr 5 CMK-Północ), oraz określenie granic tego obszaru w nowym załączniku do nowelizowanego rozporządzenia; 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§ 4 przewiduje się zmianę regulacji dotyczącej terminu obowiązywania na danym obszarze szczególnych zasad gospodarowania nieruchomościami, planowania i zagospodarowania przestrzennego oraz realizacji inwestycji (zgodnie z art. 28 ust. 3 uCPK) – w zakresie zasad wprowadzonych na danym obszarze rozporządzeniem Rady Ministrów z dnia 14 listopada 2022 r. w sprawie gmin, na których terenie będą stosowane szczególne zasady związane z realizacją inwestycji celu publicznego w zakresie Centralnego Portu Komunikacyjnego – obowiązują one zgodnie z regulacją przewidzianą w uCPK nie dłużej niż 4 lata od dnia ich wprowadzenia, a zatem do dnia 15 grudnia 2026 r.; natomiast zasady wprowadzane na danym obszarze projektowanym rozporządzeniem obowiązują nie dłużej niż 4 lata od dnia jego wejścia w życie, tj. do dnia 31 grudnia 2029 r.;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pozostałe zmiany mają </w:t>
      </w:r>
      <w:r>
        <w:rPr>
          <w:rFonts w:cs="Times New Roman" w:ascii="Times New Roman" w:hAnsi="Times New Roman"/>
          <w:i/>
          <w:iCs/>
          <w:sz w:val="24"/>
          <w:szCs w:val="24"/>
        </w:rPr>
        <w:t>de facto</w:t>
      </w:r>
      <w:r>
        <w:rPr>
          <w:rFonts w:cs="Times New Roman" w:ascii="Times New Roman" w:hAnsi="Times New Roman"/>
          <w:sz w:val="24"/>
          <w:szCs w:val="24"/>
        </w:rPr>
        <w:t xml:space="preserve"> charakter dostosowawczy i są konsekwencją zmian legislacyjnych i redakcyjnych wymienionych powyżej.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projekcie rozporządzenia nie przewiduje się regulacji przejściowych, bowiem należy podkreślić, że projekt dotyczy wyłącznie rozszerzenia obszaru objętego regulacjami rozporządzenia wydawanego na podstawie art. 28 ust. 1 uCPK.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Zgodnie z § 2 projektu rozporządzenie wchodzi w życie z dniem 1 stycznia 2026 r. Przyjęty w projekcie okres vacatio legis jest zgodny z art. 4 ustawy z dnia 20 lipca 2000 r. o ogłaszaniu aktów normatywnych i niektórych innych aktów prawnych (Dz. U. z 2019 r. poz. 1461).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Times New Roman" w:cs="Arial"/>
          <w:sz w:val="24"/>
          <w:szCs w:val="24"/>
          <w:lang w:eastAsia="pl-PL"/>
        </w:rPr>
      </w:pPr>
      <w:r>
        <w:rPr>
          <w:rFonts w:eastAsia="Times New Roman" w:cs="Arial" w:ascii="Times New Roman" w:hAnsi="Times New Roman"/>
          <w:sz w:val="24"/>
          <w:szCs w:val="24"/>
          <w:lang w:eastAsia="pl-PL"/>
        </w:rPr>
        <w:t xml:space="preserve">Nie ma możliwości osiągnięcia celu projektu za pomocą innych środków niż zmiana rozporządzenia </w:t>
      </w:r>
      <w:r>
        <w:rPr>
          <w:rFonts w:cs="Times New Roman" w:ascii="Times New Roman" w:hAnsi="Times New Roman"/>
          <w:sz w:val="24"/>
          <w:szCs w:val="24"/>
        </w:rPr>
        <w:t>Rady Ministrów z dnia 14 listopada 2022 r. w sprawie gmin, na których terenie będą stosowane szczególne zasady związane z realizacją inwestycji celu publicznego w zakresie Centralnego Portu Komunikacyjnego</w:t>
      </w:r>
      <w:r>
        <w:rPr>
          <w:rFonts w:eastAsia="Times New Roman" w:cs="Arial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widowControl w:val="false"/>
        <w:spacing w:lineRule="auto" w:line="360" w:before="0" w:after="200"/>
        <w:contextualSpacing/>
        <w:jc w:val="both"/>
        <w:rPr>
          <w:rFonts w:ascii="Times New Roman" w:hAnsi="Times New Roman" w:eastAsia="Times New Roman" w:cs="Arial"/>
          <w:sz w:val="24"/>
          <w:szCs w:val="24"/>
          <w:lang w:eastAsia="pl-PL"/>
        </w:rPr>
      </w:pPr>
      <w:r>
        <w:rPr>
          <w:rFonts w:eastAsia="Times New Roman" w:cs="Arial" w:ascii="Times New Roman" w:hAnsi="Times New Roman"/>
          <w:sz w:val="24"/>
          <w:szCs w:val="24"/>
          <w:lang w:eastAsia="pl-PL"/>
        </w:rPr>
        <w:t>Wejście w życie proponowanych rozwiązań może mieć wpływ na sektor mikro-, małych i średnich przedsiębiorstw. Wprowadzane zostają narzędzia umożliwiające wcześniejsze zbycie nieruchomości na korzystnych zasadach, co pozwoli przedsiębiorcom, na których potencjalnie oddziaływać będzie zakaz wydawania decyzji o warunkach zabudowy oraz w przyszłości realizacja inwestycji kolejowych i drogowych w otoczeniu planowanego lotniska, na przeniesienie działalności poza obszarem inwestycji. Przeniesienie to będzie rekompensowane w ramach Programu Dobrowolnych Nabyć.</w:t>
      </w:r>
    </w:p>
    <w:p>
      <w:pPr>
        <w:pStyle w:val="Normal"/>
        <w:spacing w:lineRule="auto" w:line="360"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Projekt rozporządzenia nie wymaga przedstawienia właściwym organom i instytucjom Unii Europejskiej, w tym Europejskiemu Bankowi Centralnemu, w celu uzyskania opinii, dokonania powiadomienia, konsultacji albo uzgodnienia.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Projektowane rozporządzenie nie zawiera przepisów technicznych i w związku z tym nie podlega procedurze notyfikacji w rozumieniu przepisów rozporządzenia Rady Ministrów z dnia 23 grudnia 2002 r. w sprawie sposobu funkcjonowania krajowego systemu notyfikacji norm i aktów prawnych (Dz. U. poz. 2039, z późn. zm.).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Projekt rozporządzenia nie jest objęty prawem Unii Europejskiej.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Zgodnie z art. 31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uCPK, informację o ogłoszeniu rozporządzenia zamieszcza się na stronie podmiotowej Biuletynu Informacji Publicznej: urzędu wojewódzkiego, urzędu marszałkowskiego, starostwa powiatowego, urzędu gminy, w prasie lokalnej oraz obwieszcza się w sposób zwyczajowo przyjęty w danej gminie i miejscowości.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Stosownie do art. 5 ustawy z dnia 7 lipca 2005 r. o działalności lobbingowej w procesie stanowienia prawa (Dz. U. z 2025 r. poz. 677) oraz § 52 ust. 1 uchwały nr 190 Rady Ministrów z dnia 29 października 2013 r. – Regulamin pracy Rady Ministrów (M.P. z 2024 r. poz. 806, z późn. zm.) projekt rozporządzenia został udostępniony w Biuletynie Informacji Publicznej na stronie podmiotowej Rządowego Centrum Legislacji w serwisie Rządowy Proces Legislacyjny.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Noto Serif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3089897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70a6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16990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9647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96474"/>
    <w:rPr/>
  </w:style>
  <w:style w:type="character" w:styleId="Czeinternetowe">
    <w:name w:val="Łącze internetowe"/>
    <w:basedOn w:val="DefaultParagraphFont"/>
    <w:uiPriority w:val="99"/>
    <w:unhideWhenUsed/>
    <w:rsid w:val="00a77b0b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e56fa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e56fa"/>
    <w:rPr>
      <w:vertAlign w:val="superscript"/>
    </w:rPr>
  </w:style>
  <w:style w:type="character" w:styleId="ReportTextChar" w:customStyle="1">
    <w:name w:val="Report Text Char"/>
    <w:basedOn w:val="DefaultParagraphFont"/>
    <w:link w:val="ReportText"/>
    <w:qFormat/>
    <w:rsid w:val="00d95d9f"/>
    <w:rPr>
      <w:rFonts w:ascii="Times New Roman" w:hAnsi="Times New Roman" w:eastAsia="Times New Roman" w:cs="Times New Roman"/>
      <w:sz w:val="24"/>
      <w:szCs w:val="20"/>
    </w:rPr>
  </w:style>
  <w:style w:type="character" w:styleId="DospisutabeleChar" w:customStyle="1">
    <w:name w:val="do spisu - tabele Char"/>
    <w:basedOn w:val="DefaultParagraphFont"/>
    <w:link w:val="dospisu-tabele"/>
    <w:uiPriority w:val="9"/>
    <w:qFormat/>
    <w:rsid w:val="000d77cf"/>
    <w:rPr>
      <w:rFonts w:ascii="Times New Roman" w:hAnsi="Times New Roman" w:eastAsia="ＭＳ 明朝" w:eastAsiaTheme="minorEastAsia"/>
      <w:szCs w:val="24"/>
      <w:lang w:eastAsia="zh-CN"/>
    </w:rPr>
  </w:style>
  <w:style w:type="character" w:styleId="RdoChar" w:customStyle="1">
    <w:name w:val="źródło Char"/>
    <w:basedOn w:val="DefaultParagraphFont"/>
    <w:link w:val="rdo"/>
    <w:uiPriority w:val="9"/>
    <w:qFormat/>
    <w:rsid w:val="000c7dce"/>
    <w:rPr>
      <w:rFonts w:ascii="Times New Roman" w:hAnsi="Times New Roman" w:eastAsia="ＭＳ 明朝" w:eastAsiaTheme="minorEastAsia"/>
      <w:szCs w:val="24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b3f8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4b3f81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b3f81"/>
    <w:rPr>
      <w:b/>
      <w:bCs/>
      <w:sz w:val="20"/>
      <w:szCs w:val="20"/>
    </w:rPr>
  </w:style>
  <w:style w:type="character" w:styleId="DospisuRysunkiChar" w:customStyle="1">
    <w:name w:val="do spisu - Rysunki Char"/>
    <w:basedOn w:val="DefaultParagraphFont"/>
    <w:link w:val="dospisu-Rysunki"/>
    <w:uiPriority w:val="9"/>
    <w:qFormat/>
    <w:rsid w:val="00255f4b"/>
    <w:rPr>
      <w:rFonts w:ascii="Times New Roman" w:hAnsi="Times New Roman" w:eastAsia="ＭＳ 明朝" w:eastAsiaTheme="minorEastAsia"/>
      <w:szCs w:val="24"/>
      <w:lang w:eastAsia="zh-CN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11d7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11d7e"/>
    <w:rPr>
      <w:vertAlign w:val="superscript"/>
    </w:rPr>
  </w:style>
  <w:style w:type="character" w:styleId="Wzmianka1" w:customStyle="1">
    <w:name w:val="Wzmianka1"/>
    <w:basedOn w:val="DefaultParagraphFont"/>
    <w:uiPriority w:val="99"/>
    <w:unhideWhenUsed/>
    <w:qFormat/>
    <w:rsid w:val="009d08f1"/>
    <w:rPr>
      <w:color w:val="2B579A"/>
      <w:shd w:fill="E1DFDD" w:val="clear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de5b49"/>
    <w:rPr>
      <w:color w:val="605E5C"/>
      <w:shd w:fill="E1DFDD" w:val="clear"/>
    </w:rPr>
  </w:style>
  <w:style w:type="character" w:styleId="ListLabel1">
    <w:name w:val="ListLabel 1"/>
    <w:qFormat/>
    <w:rPr>
      <w:rFonts w:eastAsia="Calibri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b w:val="false"/>
      <w:i w:val="false"/>
      <w:sz w:val="24"/>
    </w:rPr>
  </w:style>
  <w:style w:type="character" w:styleId="ListLabel11">
    <w:name w:val="ListLabel 11"/>
    <w:qFormat/>
    <w:rPr>
      <w:b/>
      <w:i w:val="false"/>
      <w:color w:val="28AAE1"/>
      <w:sz w:val="36"/>
      <w:szCs w:val="28"/>
    </w:rPr>
  </w:style>
  <w:style w:type="character" w:styleId="ListLabel12">
    <w:name w:val="ListLabel 12"/>
    <w:qFormat/>
    <w:rPr>
      <w:b/>
      <w:i w:val="false"/>
      <w:color w:val="28AAE1"/>
      <w:sz w:val="32"/>
      <w:szCs w:val="20"/>
      <w:u w:val="none" w:color="008080"/>
    </w:rPr>
  </w:style>
  <w:style w:type="character" w:styleId="ListLabel13">
    <w:name w:val="ListLabel 13"/>
    <w:qFormat/>
    <w:rPr>
      <w:b/>
      <w:i w:val="false"/>
      <w:color w:val="28AAE1"/>
      <w:sz w:val="28"/>
      <w:szCs w:val="20"/>
    </w:rPr>
  </w:style>
  <w:style w:type="character" w:styleId="ListLabel14">
    <w:name w:val="ListLabel 14"/>
    <w:qFormat/>
    <w:rPr>
      <w:b/>
      <w:i w:val="false"/>
      <w:color w:val="28AAE1"/>
      <w:sz w:val="28"/>
      <w:szCs w:val="20"/>
    </w:rPr>
  </w:style>
  <w:style w:type="character" w:styleId="ListLabel15">
    <w:name w:val="ListLabel 15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uiPriority w:val="99"/>
    <w:semiHidden/>
    <w:unhideWhenUsed/>
    <w:rsid w:val="006f1d5d"/>
    <w:pPr>
      <w:spacing w:before="0" w:after="20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170a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69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16990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Gwka">
    <w:name w:val="Header"/>
    <w:basedOn w:val="Normal"/>
    <w:link w:val="NagwekZnak"/>
    <w:uiPriority w:val="99"/>
    <w:unhideWhenUsed/>
    <w:rsid w:val="0019647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9647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c70c0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e56fa"/>
    <w:pPr>
      <w:spacing w:lineRule="auto" w:line="240" w:before="0" w:after="0"/>
    </w:pPr>
    <w:rPr>
      <w:sz w:val="20"/>
      <w:szCs w:val="20"/>
    </w:rPr>
  </w:style>
  <w:style w:type="paragraph" w:styleId="ReportText" w:customStyle="1">
    <w:name w:val="Report Text"/>
    <w:link w:val="ReportTextChar"/>
    <w:uiPriority w:val="99"/>
    <w:qFormat/>
    <w:rsid w:val="00d95d9f"/>
    <w:pPr>
      <w:widowControl/>
      <w:bidi w:val="0"/>
      <w:spacing w:lineRule="atLeast" w:line="260" w:before="170" w:after="17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en-US" w:bidi="ar-SA"/>
    </w:rPr>
  </w:style>
  <w:style w:type="paragraph" w:styleId="ReportList1" w:customStyle="1">
    <w:name w:val="Report List 1"/>
    <w:basedOn w:val="Lista"/>
    <w:qFormat/>
    <w:rsid w:val="006f1d5d"/>
    <w:pPr>
      <w:spacing w:lineRule="atLeast" w:line="260" w:before="113" w:after="113"/>
      <w:jc w:val="both"/>
    </w:pPr>
    <w:rPr>
      <w:rFonts w:ascii="Times New Roman" w:hAnsi="Times New Roman" w:eastAsia="ＭＳ 明朝" w:eastAsiaTheme="minorEastAsia"/>
      <w:sz w:val="24"/>
      <w:szCs w:val="24"/>
      <w:lang w:eastAsia="zh-CN"/>
    </w:rPr>
  </w:style>
  <w:style w:type="paragraph" w:styleId="Dospisutabele" w:customStyle="1">
    <w:name w:val="do spisu - tabele"/>
    <w:basedOn w:val="Normal"/>
    <w:link w:val="dospisu-tabeleChar"/>
    <w:uiPriority w:val="9"/>
    <w:qFormat/>
    <w:rsid w:val="000d77cf"/>
    <w:pPr>
      <w:tabs>
        <w:tab w:val="clear" w:pos="708"/>
        <w:tab w:val="left" w:pos="1080" w:leader="none"/>
      </w:tabs>
      <w:spacing w:lineRule="atLeast" w:line="220" w:before="120" w:after="170"/>
    </w:pPr>
    <w:rPr>
      <w:rFonts w:ascii="Times New Roman" w:hAnsi="Times New Roman" w:eastAsia="ＭＳ 明朝" w:eastAsiaTheme="minorEastAsia"/>
      <w:szCs w:val="24"/>
      <w:lang w:eastAsia="zh-CN"/>
    </w:rPr>
  </w:style>
  <w:style w:type="paragraph" w:styleId="Rdo" w:customStyle="1">
    <w:name w:val="źródło"/>
    <w:basedOn w:val="Caption"/>
    <w:link w:val="rdoChar"/>
    <w:uiPriority w:val="9"/>
    <w:qFormat/>
    <w:rsid w:val="000c7dce"/>
    <w:pPr>
      <w:tabs>
        <w:tab w:val="clear" w:pos="708"/>
        <w:tab w:val="left" w:pos="1080" w:leader="none"/>
      </w:tabs>
      <w:spacing w:lineRule="atLeast" w:line="220" w:before="120" w:after="170"/>
    </w:pPr>
    <w:rPr>
      <w:rFonts w:ascii="Times New Roman" w:hAnsi="Times New Roman" w:eastAsia="ＭＳ 明朝" w:eastAsiaTheme="minorEastAsia"/>
      <w:b w:val="false"/>
      <w:bCs w:val="false"/>
      <w:color w:val="auto"/>
      <w:sz w:val="22"/>
      <w:szCs w:val="24"/>
      <w:lang w:eastAsia="zh-CN"/>
    </w:rPr>
  </w:style>
  <w:style w:type="paragraph" w:styleId="ReportLevel1" w:customStyle="1">
    <w:name w:val="Report Level 1"/>
    <w:next w:val="ReportText"/>
    <w:uiPriority w:val="2"/>
    <w:qFormat/>
    <w:rsid w:val="00f740c2"/>
    <w:pPr>
      <w:keepNext w:val="true"/>
      <w:widowControl/>
      <w:pBdr>
        <w:bottom w:val="single" w:sz="8" w:space="1" w:color="28AAE1"/>
      </w:pBdr>
      <w:bidi w:val="0"/>
      <w:spacing w:lineRule="atLeast" w:line="360" w:before="340" w:after="227"/>
      <w:jc w:val="left"/>
      <w:outlineLvl w:val="0"/>
    </w:pPr>
    <w:rPr>
      <w:rFonts w:ascii="Times New Roman" w:hAnsi="Times New Roman" w:eastAsia="Times New Roman" w:cs="Times New Roman"/>
      <w:b/>
      <w:color w:val="28AAE1"/>
      <w:kern w:val="0"/>
      <w:sz w:val="36"/>
      <w:szCs w:val="20"/>
      <w:lang w:val="pl-PL" w:eastAsia="en-US" w:bidi="ar-SA"/>
    </w:rPr>
  </w:style>
  <w:style w:type="paragraph" w:styleId="ReportLevel2" w:customStyle="1">
    <w:name w:val="Report Level 2"/>
    <w:basedOn w:val="ReportLevel1"/>
    <w:next w:val="ReportText"/>
    <w:uiPriority w:val="2"/>
    <w:qFormat/>
    <w:rsid w:val="00f740c2"/>
    <w:pPr>
      <w:pBdr>
        <w:bottom w:val="nil"/>
      </w:pBdr>
      <w:spacing w:lineRule="atLeast" w:line="320" w:before="340" w:after="170"/>
      <w:outlineLvl w:val="1"/>
    </w:pPr>
    <w:rPr>
      <w:sz w:val="32"/>
    </w:rPr>
  </w:style>
  <w:style w:type="paragraph" w:styleId="ReportLevel3" w:customStyle="1">
    <w:name w:val="Report Level 3"/>
    <w:basedOn w:val="ReportLevel2"/>
    <w:next w:val="ReportText"/>
    <w:uiPriority w:val="2"/>
    <w:qFormat/>
    <w:rsid w:val="00f740c2"/>
    <w:pPr>
      <w:spacing w:lineRule="exact" w:line="320" w:before="340" w:after="113"/>
      <w:outlineLvl w:val="2"/>
    </w:pPr>
    <w:rPr>
      <w:sz w:val="28"/>
      <w:szCs w:val="18"/>
    </w:rPr>
  </w:style>
  <w:style w:type="paragraph" w:styleId="ReportLevel4" w:customStyle="1">
    <w:name w:val="Report Level 4"/>
    <w:basedOn w:val="ReportLevel3"/>
    <w:next w:val="ReportText"/>
    <w:uiPriority w:val="2"/>
    <w:qFormat/>
    <w:rsid w:val="00f740c2"/>
    <w:pPr>
      <w:outlineLvl w:val="3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4b3f8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b3f81"/>
    <w:pPr/>
    <w:rPr>
      <w:b/>
      <w:bCs/>
    </w:rPr>
  </w:style>
  <w:style w:type="paragraph" w:styleId="ReportTableText" w:customStyle="1">
    <w:name w:val="Report Table Text"/>
    <w:basedOn w:val="ReportText"/>
    <w:qFormat/>
    <w:rsid w:val="00172be2"/>
    <w:pPr>
      <w:spacing w:lineRule="atLeast" w:line="200" w:before="57" w:after="57"/>
    </w:pPr>
    <w:rPr>
      <w:sz w:val="20"/>
    </w:rPr>
  </w:style>
  <w:style w:type="paragraph" w:styleId="ReportInsertPicture" w:customStyle="1">
    <w:name w:val="Report Insert Picture"/>
    <w:basedOn w:val="ReportText"/>
    <w:qFormat/>
    <w:rsid w:val="00255f4b"/>
    <w:pPr>
      <w:spacing w:lineRule="auto" w:line="240" w:before="0" w:after="0"/>
    </w:pPr>
    <w:rPr/>
  </w:style>
  <w:style w:type="paragraph" w:styleId="DospisuRysunki" w:customStyle="1">
    <w:name w:val="do spisu - Rysunki"/>
    <w:basedOn w:val="Caption"/>
    <w:link w:val="dospisu-RysunkiChar"/>
    <w:uiPriority w:val="9"/>
    <w:qFormat/>
    <w:rsid w:val="00255f4b"/>
    <w:pPr>
      <w:keepNext w:val="true"/>
      <w:tabs>
        <w:tab w:val="clear" w:pos="708"/>
        <w:tab w:val="left" w:pos="1080" w:leader="none"/>
      </w:tabs>
      <w:spacing w:lineRule="atLeast" w:line="220" w:before="120" w:after="170"/>
    </w:pPr>
    <w:rPr>
      <w:rFonts w:ascii="Times New Roman" w:hAnsi="Times New Roman" w:eastAsia="ＭＳ 明朝" w:eastAsiaTheme="minorEastAsia"/>
      <w:b w:val="false"/>
      <w:bCs w:val="false"/>
      <w:color w:val="auto"/>
      <w:sz w:val="22"/>
      <w:szCs w:val="24"/>
      <w:lang w:eastAsia="zh-CN"/>
    </w:rPr>
  </w:style>
  <w:style w:type="paragraph" w:styleId="Revision">
    <w:name w:val="Revision"/>
    <w:uiPriority w:val="99"/>
    <w:semiHidden/>
    <w:qFormat/>
    <w:rsid w:val="002a6d35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11d7e"/>
    <w:pPr>
      <w:spacing w:lineRule="auto" w:line="240" w:before="0" w:after="0"/>
    </w:pPr>
    <w:rPr>
      <w:sz w:val="20"/>
      <w:szCs w:val="20"/>
    </w:rPr>
  </w:style>
  <w:style w:type="paragraph" w:styleId="ARTartustawynprozporzdzenia" w:customStyle="1">
    <w:name w:val="ART(§) – art. ustawy (§ np. rozporządzenia)"/>
    <w:uiPriority w:val="11"/>
    <w:qFormat/>
    <w:rsid w:val="000b0e54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ＭＳ 明朝" w:cs="Arial" w:eastAsiaTheme="minorEastAsia"/>
      <w:color w:val="auto"/>
      <w:kern w:val="0"/>
      <w:sz w:val="24"/>
      <w:szCs w:val="20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ReportListLevelStyle" w:customStyle="1">
    <w:name w:val="Report List Level Style"/>
    <w:uiPriority w:val="99"/>
    <w:qFormat/>
    <w:rsid w:val="00f740c2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21">
    <w:name w:val="Light List - Accent 21"/>
    <w:basedOn w:val="Standardowy"/>
    <w:uiPriority w:val="61"/>
    <w:rsid w:val="000d77cf"/>
    <w:pPr>
      <w:spacing w:after="0" w:line="240" w:lineRule="auto"/>
    </w:pPr>
    <w:rPr>
      <w:lang w:val="en-GB" w:eastAsia="zh-CN"/>
      <w:sz w:val="24"/>
      <w:szCs w:val="24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customStyle="1" w:styleId="ReportTable">
    <w:name w:val="Report Table"/>
    <w:basedOn w:val="Standardowy"/>
    <w:rsid w:val="00ba2e26"/>
    <w:pPr>
      <w:spacing w:after="0" w:line="240" w:lineRule="auto"/>
    </w:pPr>
    <w:rPr>
      <w:lang w:val="en-GB" w:eastAsia="en-GB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ADADA"/>
      </w:tcPr>
    </w:tblStylePr>
  </w:style>
  <w:style w:type="table" w:customStyle="1" w:styleId="Style1">
    <w:name w:val="Style1"/>
    <w:basedOn w:val="Standardowy"/>
    <w:uiPriority w:val="99"/>
    <w:rsid w:val="00ba2e26"/>
    <w:pPr>
      <w:spacing w:after="0" w:line="240" w:lineRule="auto"/>
    </w:pPr>
    <w:rPr>
      <w:lang w:val="en-GB" w:eastAsia="zh-CN"/>
      <w:i/>
      <w:color w:val="414141"/>
      <w:sz w:val="24"/>
      <w:szCs w:val="24"/>
    </w:rPr>
    <w:tblPr>
      <w:tblBorders>
        <w:top w:val="single" w:color="28AAE1" w:sz="4" w:space="0"/>
        <w:bottom w:val="single" w:color="28AAE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8A9DA-69D9-4CA4-9F90-FCA31837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LibreOffice/6.2.4.2$Windows_X86_64 LibreOffice_project/2412653d852ce75f65fbfa83fb7e7b669a126d64</Application>
  <Pages>2</Pages>
  <Words>1322</Words>
  <Characters>8582</Characters>
  <CharactersWithSpaces>9893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2025-11-18T16:28:00Z</dcterms:created>
  <dc:creator/>
  <dc:description/>
  <dc:language>pl-PL</dc:language>
  <cp:lastModifiedBy/>
  <dcterms:modified xsi:type="dcterms:W3CDTF">2025-11-20T06:49:00Z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