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947" w:type="dxa"/>
        <w:jc w:val="left"/>
        <w:tblInd w:w="-17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596"/>
        <w:gridCol w:w="645"/>
        <w:gridCol w:w="426"/>
        <w:gridCol w:w="466"/>
        <w:gridCol w:w="413"/>
        <w:gridCol w:w="155"/>
        <w:gridCol w:w="126"/>
        <w:gridCol w:w="61"/>
        <w:gridCol w:w="383"/>
        <w:gridCol w:w="554"/>
        <w:gridCol w:w="15"/>
        <w:gridCol w:w="270"/>
        <w:gridCol w:w="298"/>
        <w:gridCol w:w="354"/>
        <w:gridCol w:w="217"/>
        <w:gridCol w:w="399"/>
        <w:gridCol w:w="171"/>
        <w:gridCol w:w="81"/>
        <w:gridCol w:w="70"/>
        <w:gridCol w:w="418"/>
        <w:gridCol w:w="115"/>
        <w:gridCol w:w="403"/>
        <w:gridCol w:w="50"/>
        <w:gridCol w:w="570"/>
        <w:gridCol w:w="317"/>
        <w:gridCol w:w="252"/>
        <w:gridCol w:w="569"/>
        <w:gridCol w:w="116"/>
        <w:gridCol w:w="1421"/>
        <w:gridCol w:w="1"/>
        <w:gridCol w:w="2"/>
        <w:gridCol w:w="2"/>
        <w:gridCol w:w="10"/>
      </w:tblGrid>
      <w:tr>
        <w:trPr>
          <w:trHeight w:val="1611" w:hRule="atLeast"/>
        </w:trPr>
        <w:tc>
          <w:tcPr>
            <w:tcW w:w="663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34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Nazwa projektu</w:t>
            </w:r>
          </w:p>
          <w:p>
            <w:pPr>
              <w:pStyle w:val="Normal"/>
              <w:spacing w:lineRule="auto" w:line="240"/>
              <w:ind w:left="34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Rozporządzenie Rady Ministrów </w:t>
            </w:r>
            <w:r>
              <w:rPr>
                <w:rFonts w:ascii="Times New Roman" w:hAnsi="Times New Roman"/>
                <w:color w:val="000000"/>
              </w:rPr>
              <w:t>zmieniające rozporządzenie w sprawie gmin, na których terenie będą stosowane szczególne zasady związane z realizacją inwestycji celu publicznego w zakresie Centralnego Portu Komunikacyjnego</w:t>
            </w:r>
          </w:p>
          <w:p>
            <w:pPr>
              <w:pStyle w:val="Normal"/>
              <w:spacing w:lineRule="auto" w:line="240"/>
              <w:ind w:left="34" w:hanging="0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  <w:bookmarkStart w:id="0" w:name="t1"/>
            <w:bookmarkEnd w:id="0"/>
          </w:p>
          <w:p>
            <w:pPr>
              <w:pStyle w:val="Normal"/>
              <w:spacing w:lineRule="auto" w:line="240"/>
              <w:ind w:left="34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Ministerstwo Infrastruktury</w:t>
            </w:r>
          </w:p>
          <w:p>
            <w:pPr>
              <w:pStyle w:val="Normal"/>
              <w:spacing w:lineRule="auto" w:line="240"/>
              <w:ind w:left="34" w:hanging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Osoba odpowiedzialna za projekt w randze Ministra, Sekretarza Stanu lub Podsekretarza Stanu </w:t>
            </w:r>
          </w:p>
          <w:p>
            <w:pPr>
              <w:pStyle w:val="Normal"/>
              <w:spacing w:lineRule="auto" w:line="240"/>
              <w:ind w:left="34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Maciej Lasek </w:t>
            </w:r>
            <w:r>
              <w:rPr>
                <w:rFonts w:eastAsia="Symbol" w:cs="Symbol" w:ascii="Symbol" w:hAnsi="Symbol"/>
                <w:color w:val="000000"/>
              </w:rPr>
              <w:t></w:t>
            </w:r>
            <w:r>
              <w:rPr>
                <w:rFonts w:ascii="Times New Roman" w:hAnsi="Times New Roman"/>
                <w:color w:val="000000"/>
              </w:rPr>
              <w:t xml:space="preserve"> Pełnomocnik Rządu do spraw Centralnego Portu Komunikacyjnego, Sekretarz Stanu w Ministerstwie Infrastruktury</w:t>
            </w:r>
          </w:p>
          <w:p>
            <w:pPr>
              <w:pStyle w:val="Normal"/>
              <w:spacing w:lineRule="auto" w:line="240"/>
              <w:ind w:left="34" w:hanging="0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Kontakt do opiekuna merytorycznego projektu</w:t>
            </w:r>
          </w:p>
          <w:p>
            <w:pPr>
              <w:pStyle w:val="Normal"/>
              <w:spacing w:lineRule="auto" w:line="240"/>
              <w:ind w:left="34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Iwona Zalewska – Malesa, Biuro Pełnomocnika Rządu ds. Centralnego Portu Komunikacyjnego, Ministerstwo Infrastruktury, SekretariatBPCPK@mi.gov.pl; tel. 22 630 11 40</w:t>
            </w:r>
          </w:p>
        </w:tc>
        <w:tc>
          <w:tcPr>
            <w:tcW w:w="43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b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Data sporządzenia</w:t>
              <w:br/>
            </w:r>
            <w:r>
              <w:rPr/>
            </w:r>
            <w:sdt>
              <w:sdtPr>
                <w:date w:fullDate="2025-11-20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>
                  <w:rPr>
                    <w:b/>
                    <w:sz w:val="21"/>
                    <w:szCs w:val="21"/>
                  </w:rPr>
                  <w:t>20.11.2025</w:t>
                </w:r>
              </w:sdtContent>
            </w:sdt>
          </w:p>
          <w:p>
            <w:pPr>
              <w:pStyle w:val="Normal"/>
              <w:spacing w:lineRule="auto" w:line="24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Źródło: </w:t>
            </w:r>
            <w:bookmarkStart w:id="1" w:name="Lista1"/>
            <w:bookmarkEnd w:id="1"/>
          </w:p>
          <w:p>
            <w:pPr>
              <w:pStyle w:val="Normal"/>
              <w:spacing w:lineRule="auto" w:line="240"/>
              <w:rPr>
                <w:rFonts w:ascii="Times New Roman" w:hAnsi="Times New Roman"/>
              </w:rPr>
            </w:pPr>
            <w:r>
              <w:rPr/>
            </w:r>
            <w:sdt>
              <w:sdtPr>
                <w:dropDownList>
                  <w:listItem w:displayText="Wybierz element." w:value="Wybierz element."/>
                  <w:listItem w:displayText="Exposé PRM" w:value="Exposé PRM"/>
                  <w:listItem w:displayText="Decyzja PRM/RM" w:value="Decyzja PRM/RM"/>
                  <w:listItem w:displayText="Prawo UE" w:value="Prawo UE"/>
                  <w:listItem w:displayText="Orzeczenie TK" w:value="Orzeczenie TK"/>
                  <w:listItem w:displayText="Upoważnienie ustawowe" w:value="Upoważnienie ustawowe"/>
                  <w:listItem w:displayText="Strategia" w:value="Strategia"/>
                  <w:listItem w:displayText="Inne" w:value="Inne"/>
                </w:dropDownList>
              </w:sdtPr>
              <w:sdtContent>
                <w:r>
                  <w:t>Upoważnienie ustawowe</w:t>
                </w:r>
              </w:sdtContent>
            </w:sdt>
          </w:p>
          <w:p>
            <w:pPr>
              <w:pStyle w:val="Normal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art. 28 ust. 1 ustawy z dnia 10 maja 2018 r. o Centralnym Porcie Komunikacyjnym (Dz. U. z 2024 r. poz. 1747, z póżn. zm.)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120" w:after="0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Nr w wykazie prac 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RPRO1</w:t>
            </w:r>
          </w:p>
        </w:tc>
        <w:tc>
          <w:tcPr>
            <w:tcW w:w="1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1093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</w:tcPr>
          <w:p>
            <w:pPr>
              <w:pStyle w:val="Normal"/>
              <w:spacing w:lineRule="auto" w:line="240"/>
              <w:ind w:left="57" w:hanging="0"/>
              <w:jc w:val="center"/>
              <w:rPr>
                <w:rFonts w:ascii="Times New Roman" w:hAnsi="Times New Roman"/>
                <w:b/>
                <w:b/>
                <w:color w:val="FFFFFF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  <w:tc>
          <w:tcPr>
            <w:tcW w:w="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3" w:hRule="atLeast"/>
        </w:trPr>
        <w:tc>
          <w:tcPr>
            <w:tcW w:w="1093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60" w:after="60"/>
              <w:ind w:left="318" w:hanging="284"/>
              <w:jc w:val="both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Jaki problem jest rozwiązywany?</w:t>
            </w:r>
            <w:bookmarkStart w:id="2" w:name="Wyb%C3%B3r1"/>
            <w:bookmarkEnd w:id="2"/>
          </w:p>
        </w:tc>
        <w:tc>
          <w:tcPr>
            <w:tcW w:w="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1093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Zgodnie z art. 28 ust. 1 ustawy z dnia 10 maja 2018 r. o Centralnym Porcie Komunikacyjnym, zwanej dalej „uCPK”, w brzmieniu nadanym ustawą z dnia 22 lipca 2022 r. o usprawnieniu procesu inwestycyjnego Centralnego Portu Komunikacyjnego (Dz. U. poz. 1846), Rada Ministrów, w drodze rozporządzenia, może wskazać gminy lub ich części, na których terenie, w celu przygotowania obszaru Inwestycji oraz zapewnienia optymalnych warunków rozwoju społeczno-gospodarczego oraz przestrzennego na obszarze otoczenia CPK, stosowane będą szczególne zasady gospodarowania nieruchomościami, planowania i zagospodarowania przestrzennego oraz realizacji inwestycji określone w art. 29 uCPK, szczególne zasady nabywania nieruchomości określone w art. 29b uCPK lub szczególne zasady udostępniania nieruchomości na cele badań przyrodniczych określone w art. 29f uCPK. Ponadto warto zauważyć, że ustawą z dnia 22 lipca 2022 r. o usprawnieniu procesu inwestycyjnego Centralnego Portu Komunikacyjnego  wprowadzono znacznie szersze możliwości ustalania ceny nabycia nieruchomości (tzw. Program Dobrowolnych Nabyć – „PDN”), uprawniając Spółkę Celową do zapłaty kwoty przewyższającej wartość rynkową nieruchomości, ustaloną w operacie szacunkowym. Innymi rozwiązaniami wprowadzonymi na podstawie tej ustawy, dogodnymi dla zbywających nieruchomości z terenu przyszłej Inwestycji, jest możliwość ustanowienia przez Spółkę Celową renty oraz wypłaty rekompensaty w związku ze spadkiem zdolności kredytowej zbywcy nieruchomości. Obecnie PDN na obszarze objętym wnioskiem o wydanie decyzji lokalizacyjnej w zakresie lotniska CPK dobiega końca. Jednocześnie projektowanie linii kolejowych i drogowych w bezpośrednim sąsiedztwie planowanego lotniska CPK osiągnęło poziom pozwalający z bardzo dużym prawdopodobieństwem wskazać przebiegi poszczególnych linii. Z tego też względu konieczne jest określenie kolejnych obszarów, na których obowiązywać będą szczególne zasady gospodarowania nieruchomościami, planowania i zagospodarowania przestrzennego oraz realizacji inwestycji określone w art. 29 uCPK oraz szczególne zasady nabywania nieruchomości określone w art. 29b uCPK. Pozwoli to osobom zamieszkującym te tereny i prowadzącym tam działalność gospodarczą przenieść swoje ośrodki aktywności życiowej w inne miejsce. Ponadto należy ograniczyć koszty </w:t>
            </w:r>
            <w:r>
              <w:rPr>
                <w:rFonts w:ascii="Times New Roman" w:hAnsi="Times New Roman"/>
                <w:bCs/>
                <w:color w:val="000000" w:themeColor="text1"/>
              </w:rPr>
              <w:t>społeczne i finansowe planowanych inwestycji, tj. umożliwić prywatnym inwestorom racjonalne gospodarowanie nieruchomościami położonymi na tym obszarze, w sposób eliminujący potencjalne kolizje inwestycji prywatnych z inwestycją celu publicznego.</w:t>
            </w:r>
          </w:p>
        </w:tc>
        <w:tc>
          <w:tcPr>
            <w:tcW w:w="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1093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60" w:after="60"/>
              <w:ind w:left="318" w:hanging="284"/>
              <w:jc w:val="both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</w:rPr>
              <w:t>Rekomendowane rozwiązanie, w tym planowane narzędzia interwencji, i oczekiwany efekt</w:t>
            </w:r>
          </w:p>
        </w:tc>
        <w:tc>
          <w:tcPr>
            <w:tcW w:w="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1093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W związku z postępami prac nad przygotowaniem i realizacją Programu, o którym mowa w art. 2 pkt 7 uCPK, zwanego dalej „Programem CPK”, proponuje się znowelizować dotychczas obowiązujące rozporządzenie </w:t>
            </w:r>
            <w:r>
              <w:rPr>
                <w:rFonts w:ascii="Times New Roman" w:hAnsi="Times New Roman"/>
              </w:rPr>
              <w:t xml:space="preserve">Rady Ministrów z dnia 14 listopada 2022 r. w sprawie gmin, na których terenie będą stosowane szczególne zasady związane z realizacją inwestycji celu publicznego w zakresie Centralnego Portu Komunikacyjnego (Dz. U. poz. 2609) </w:t>
            </w:r>
            <w:r>
              <w:rPr>
                <w:rFonts w:ascii="Times New Roman" w:hAnsi="Times New Roman"/>
                <w:color w:val="000000" w:themeColor="text1"/>
              </w:rPr>
              <w:t xml:space="preserve">i rozszerzyć obszar stosowania szczególnych zasad dotyczących nieruchomości o te tereny, na których zlokalizowane mają być m.in. węzeł kolejowy CPK, bocznica paliwowa, węzeł drogowy i inne przedsięwzięcia stanowiące część Inwestycji, o której mowa w art. 2 pkt 3 uCPK, lub są konieczne dla zapewnienia optymalnych warunków rozwoju społeczno-gospodarczego oraz przestrzennego na obszarze otoczenia CPK. Określenie terenów, na których stosowane będą szczególne zasady związane z realizacją inwestycji celu publicznego w zakresie CPK w związku z realizacją projektów kolejowych zostało dokonane na podstawie dokumentacji przedprojektowej, tj. Studiów Techniczno-Ekonomiczno-Środowiskowych oraz Koncepcji projektowych, które określają orientacyjny obszar inwestycji poprzez wyznaczenie zajętości terenu, na której zlokalizowana będzie nowobudowana infrastruktura. W zakresie projektów drogowych określenie terenów nastąpiło na podstawie dokumentacji projektowej w stadium Koncepcji Programowej (KPD) dla Układu Drogowego łączącego Teren Lotniska CPK z siecią dróg publicznych. Obszary objęte nowelizacją rozporządzenia wyznaczono przez wykonanie analizy polegającej na nałożeniu planowanych obszarów inwestycji na ewidencję działek, stosując przy tym zasady określone w art. 28 ust. 4 i 5 uCPK. Wydanie przedmiotowego rozporządzenia umożliwi zabezpieczenie terenów potrzebnych pod realizację inwestycji w otoczeniu lotniska CPK, w tym również skorzystanie z PDN. 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Nowelizacja rozporządzenia obejmuje następujące projekty kolejowe i drogowe realizowane w ramach Centralnego Portu Komunikacyjnego: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12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„</w:t>
            </w:r>
            <w:r>
              <w:rPr>
                <w:rFonts w:ascii="Times New Roman" w:hAnsi="Times New Roman"/>
                <w:color w:val="000000" w:themeColor="text1"/>
              </w:rPr>
              <w:t>Budowa bocznicy kolejowej na odcinku linia kolejowa nr 3 – Centralny Port Komunikacyjny”, w zakresie objętym nowelizacją zlokalizowany na obszarze części gminy Teresin;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12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„</w:t>
            </w:r>
            <w:r>
              <w:rPr>
                <w:rFonts w:ascii="Times New Roman" w:hAnsi="Times New Roman"/>
                <w:color w:val="000000" w:themeColor="text1"/>
              </w:rPr>
              <w:t xml:space="preserve">Budowa Węzła kolejowego CPK”, w zakresie objętym nowelizacją zlokalizowany na obszarze części gmin: Teresin, Baranów, Błonie, Grodzisk Mazowiecki i Jaktorów; 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12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„</w:t>
            </w:r>
            <w:r>
              <w:rPr>
                <w:rFonts w:ascii="Times New Roman" w:hAnsi="Times New Roman"/>
                <w:color w:val="000000" w:themeColor="text1"/>
              </w:rPr>
              <w:t>Budowa linii kolejowych nr 5 i 50 na odc. Węzeł CPK – Płock – Włocławek”, w zakresie objętym nowelizacją zlokalizowany na obszarze części gmin: Teresin, Sochaczew (gm. Wiejska), Sochaczew (miasto) i Kampinos;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12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„</w:t>
            </w:r>
            <w:r>
              <w:rPr>
                <w:rFonts w:ascii="Times New Roman" w:hAnsi="Times New Roman"/>
                <w:color w:val="000000" w:themeColor="text1"/>
              </w:rPr>
              <w:t>Budowa dróg łączących CPK z siecią dróg publicznych, Zadanie 1 – Wschodnie Podłączenie Lotniska odcinek od węzła „CPK Wschód” (bez węzła) do węzła „Baranów” na połączeniu z autostradą A2 (z węzłem)”, w zakresie objętym nowelizacją zlokalizowany na obszarze części gmin: Baranów, Grodzisk Mazowiecki i Jaktorów;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12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„</w:t>
            </w:r>
            <w:r>
              <w:rPr>
                <w:rFonts w:ascii="Times New Roman" w:hAnsi="Times New Roman"/>
                <w:color w:val="000000" w:themeColor="text1"/>
              </w:rPr>
              <w:t xml:space="preserve">Budowa dróg łączących CPK z siecią dróg publicznych, Zadanie 4 – Zachodnia Obwodnica Lotniska odcinek od skrzyżowania na połączeniu z Północną Obwodnicą Lotniska do skrzyżowania na połączeniu z DP nr 3834W oraz odcinek DP nr 3834W od skrzyżowania z DK nr 50 w miejscowości Cyganka do skrzyżowania z Zachodnią Obwodnicą Lotniska, a także odcinek DK nr 50 od skrzyżowania w miejscowości Cyganka do skrzyżowania na istniejącym węźle Wiskitki (ze skrzyżowaniem)”, w zakresie objętym nowelizacją zlokalizowany na obszarze części gminy Wiskitki. 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Powierzchnia obszaru obowiązującego rozporządzenia wynosi około 79 km</w:t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a powierzchnia planowanego rozszerzenia obszaru objętego rozporządzeniem wynosi około 38 km</w:t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Jednocześnie należy podkreślić, że przedmiotowe rozporządzenie nie zmienia obszaru stosowania szczególnych zasad udostępniania nieruchomości na cele badań przyrodniczych.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</w:rPr>
              <w:t>Nie ma możliwości osiągnięcia celów projektu za pomocą innych środków niż nowelizacja rozporządzenia.</w:t>
            </w:r>
          </w:p>
        </w:tc>
        <w:tc>
          <w:tcPr>
            <w:tcW w:w="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7" w:hRule="atLeast"/>
        </w:trPr>
        <w:tc>
          <w:tcPr>
            <w:tcW w:w="1093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60" w:after="60"/>
              <w:ind w:left="318" w:hanging="284"/>
              <w:jc w:val="both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spacing w:val="-2"/>
              </w:rPr>
              <w:t>Jak problem został rozwiązany w innych krajach, w szczególności krajach członkowskich OECD/UE</w:t>
            </w:r>
            <w:r>
              <w:rPr>
                <w:rFonts w:ascii="Times New Roman" w:hAnsi="Times New Roman"/>
                <w:b/>
                <w:color w:val="000000"/>
              </w:rPr>
              <w:t>?</w:t>
            </w:r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  <w:tc>
          <w:tcPr>
            <w:tcW w:w="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1093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Z uwagi na specyfikę rozwiązań nie zachodzi konieczność przeglądu regulacji dotyczących analogicznego problemu, obowiązujących w krajach członkowskich OECD/UE.</w:t>
            </w:r>
          </w:p>
        </w:tc>
        <w:tc>
          <w:tcPr>
            <w:tcW w:w="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59" w:hRule="atLeast"/>
        </w:trPr>
        <w:tc>
          <w:tcPr>
            <w:tcW w:w="1093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60" w:after="60"/>
              <w:ind w:left="318" w:hanging="284"/>
              <w:jc w:val="both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  <w:tc>
          <w:tcPr>
            <w:tcW w:w="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00" w:hRule="atLeast"/>
        </w:trPr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40" w:after="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40" w:after="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5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40" w:after="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Źródło danych </w:t>
            </w:r>
          </w:p>
        </w:tc>
        <w:tc>
          <w:tcPr>
            <w:tcW w:w="45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40" w:after="0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  <w:tc>
          <w:tcPr>
            <w:tcW w:w="1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Pełnomocnik Rządu ds. CPK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25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uCPK</w:t>
            </w:r>
          </w:p>
        </w:tc>
        <w:tc>
          <w:tcPr>
            <w:tcW w:w="45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Rozszerzenie obszaru stosowania szczególnych zasad określonych w art. 29 uCPK, spowoduje zwiększenie ilości postępowań w zakresie wydawania zgód, o których mowa w art. 29 ust. 1 pkt 1 i ust. 7 uCPK.</w:t>
            </w:r>
          </w:p>
        </w:tc>
        <w:tc>
          <w:tcPr>
            <w:tcW w:w="1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Spółka Celowa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25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uCPK</w:t>
            </w:r>
          </w:p>
        </w:tc>
        <w:tc>
          <w:tcPr>
            <w:tcW w:w="45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Rozszerzenie dotychczasowego obszaru stosowania szczególnych zasad nabywania nieruchomości określonych w art. 29b uCPK spowoduje zwiększenie obszaru działań związanych z realizacją PDN.</w:t>
            </w:r>
          </w:p>
        </w:tc>
        <w:tc>
          <w:tcPr>
            <w:tcW w:w="1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560" w:leader="none"/>
              </w:tabs>
              <w:spacing w:lineRule="auto" w: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Wojewodowie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2</w:t>
            </w:r>
          </w:p>
        </w:tc>
        <w:tc>
          <w:tcPr>
            <w:tcW w:w="25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Dane własne</w:t>
            </w:r>
          </w:p>
        </w:tc>
        <w:tc>
          <w:tcPr>
            <w:tcW w:w="45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Potencjalne zwiększenie ilości postępowań w zakresie decyzji ws. przyznania odszkodowania w przypadku, o którym mowa w art. 29g uCPK.</w:t>
            </w:r>
          </w:p>
        </w:tc>
        <w:tc>
          <w:tcPr>
            <w:tcW w:w="1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560" w:leader="none"/>
              </w:tabs>
              <w:spacing w:lineRule="auto" w: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Gminy Baranów, Teresin, Wiskitki, Sochaczew (gm. wiejska), Błonie, Grodzisk Mazowiecki, Jaktorów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7</w:t>
            </w:r>
          </w:p>
        </w:tc>
        <w:tc>
          <w:tcPr>
            <w:tcW w:w="25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Dane własne</w:t>
            </w:r>
          </w:p>
        </w:tc>
        <w:tc>
          <w:tcPr>
            <w:tcW w:w="45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Wymóg uzgadniania z ministrem właściwym ds. transportu projektów planów ogólnych gminy oraz miejscowych planów zagospodarowania przestrzennego – możliwość koordynacji zamierzeń w zakresie polityki przestrzennej z poziomem rządowym.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Opracowanie wykazu, o którym mowa w art. 28 ust. 9 uCPK.</w:t>
            </w:r>
          </w:p>
        </w:tc>
        <w:tc>
          <w:tcPr>
            <w:tcW w:w="1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560" w:leader="none"/>
              </w:tabs>
              <w:spacing w:lineRule="auto" w: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</w:rPr>
              <w:t>Inwestorzy niepubliczni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25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45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Ograniczenie możliwości wydawania decyzji o pozwoleniu na budowę oraz decyzji o warunkach zabudowy i zagospodarowania terenu oraz wygaszenie decyzji o warunkach zabudowy i zagospodarowania terenu.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</w:rPr>
              <w:t>Ograniczenie możliwości wydawania uchwał, o których mowa w art. 7 ust. 1 i art. 20 ustawy z dnia 5 lipca 2018 r. o ułatwieniach w przygotowaniu i realizacji inwestycji mieszkaniowych oraz inwestycji towarzyszących (Dz. U. z 2024 r. poz. 195, z późn.zm.) oraz wygaszanie tych uchwał.</w:t>
            </w:r>
          </w:p>
        </w:tc>
        <w:tc>
          <w:tcPr>
            <w:tcW w:w="1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560" w:leader="none"/>
              </w:tabs>
              <w:spacing w:lineRule="auto" w: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</w:rPr>
              <w:t>Inwestorzy inwestycji celu publicznego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25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45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Ograniczenie możliwości wydawania decyzji o pozwoleniu na budowę oraz decyzji o warunkach zabudowy i zagospodarowania terenu oraz wygaszenie decyzji o warunkach zabudowy i zagospodarowania terenu.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</w:rPr>
              <w:t>Ograniczenie możliwości wydawania decyzji dokonujących lokalizacji oraz decyzji zezwalających na wykonywanie robót budowlanych.</w:t>
            </w:r>
          </w:p>
        </w:tc>
        <w:tc>
          <w:tcPr>
            <w:tcW w:w="1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560" w:leader="none"/>
              </w:tabs>
              <w:spacing w:lineRule="auto" w: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Właściciele i użytkownicy wieczyści nieruchomości z części terenów gmin Baranów, Teresin, Wiskitki, Sochaczew (gm. wiejska), Błonie, Jaktorów i Grodzisk Mazowiecki objętych rozporządzeniem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Ok. 1100</w:t>
            </w:r>
          </w:p>
        </w:tc>
        <w:tc>
          <w:tcPr>
            <w:tcW w:w="25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Dane własne</w:t>
            </w:r>
          </w:p>
        </w:tc>
        <w:tc>
          <w:tcPr>
            <w:tcW w:w="45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Stosowanie szczególnych zasad gospodarowania nieruchomościami określonych w art. 29 uCPK.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Obciążenie prawem pierwokupu przez Spółkę Celową nieruchomości, z wyłączeniem samodzielnych lokali mieszkalnych zgodnie z art. 29b ust. 1 pkt 1 uCPK.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</w:rPr>
              <w:t>Możliwość przeniesienia własności nieruchomości w ramach PDN, zgodnie z art. 29b ust. 1 pkt 2 uCPK.</w:t>
            </w:r>
          </w:p>
        </w:tc>
        <w:tc>
          <w:tcPr>
            <w:tcW w:w="1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560" w:leader="none"/>
              </w:tabs>
              <w:spacing w:lineRule="auto" w: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Gospodarujący nieruchomościami Skarbu Państwa na obszarze objętym rozporządzeniem (powiaty, Krajowy Ośrodek Wsparcia Rolnictwa, Agencja Mienia Wojskowego, Lasy Państwowe, Krajowy Zasób Nieruchomości)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7</w:t>
            </w:r>
          </w:p>
        </w:tc>
        <w:tc>
          <w:tcPr>
            <w:tcW w:w="25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Ustawy szczególne określające kompetencje w zakresie gospodarowania nieruchomościami Skarbu Państwa</w:t>
            </w:r>
          </w:p>
        </w:tc>
        <w:tc>
          <w:tcPr>
            <w:tcW w:w="45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b/>
                <w:b/>
                <w:bCs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Konieczność uzyskania zgody na ustanowienie ograniczonych praw rzeczowych, zawarcie umów dzierżawy i najmu nieruchomości gruntowych Skarbu Państwa oraz umów, które pozwalają na realizację inwestycji na tych nieruchomościach, również inwestycji o charakterze innym niż budowlany.</w:t>
            </w:r>
          </w:p>
        </w:tc>
        <w:tc>
          <w:tcPr>
            <w:tcW w:w="1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2" w:hRule="atLeast"/>
        </w:trPr>
        <w:tc>
          <w:tcPr>
            <w:tcW w:w="1093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60" w:after="60"/>
              <w:ind w:left="318" w:hanging="284"/>
              <w:jc w:val="both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Informacje na temat zakresu, czasu trwania i podsumowanie wyników konsultacji</w:t>
            </w:r>
          </w:p>
        </w:tc>
        <w:tc>
          <w:tcPr>
            <w:tcW w:w="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2" w:hRule="atLeast"/>
        </w:trPr>
        <w:tc>
          <w:tcPr>
            <w:tcW w:w="1093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Zgodnie z art. 5 ustawy z dnia 7 lipca 2005 r. o działalności lobbingowej w procesie stanowienia prawa (Dz. U. z 2025 r. poz. 677) oraz § 52 uchwały nr 190 Rady Ministrów z dnia 29 października 2013 r. – Regulamin pracy Rady Ministrów (M.P. z 2024 r. poz. 806, z późn. zm.) projekt został udostępniony w Biuletynie Informacji Publicznej na stronie podmiotowej Rządowego Centrum Legislacji, w serwisie Rządowy Proces Legislacyjny.</w:t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 ramach konsultacji projekt został przesłany do następujących podmiotów z terminem 14 dni na wniesienie ewentualnych uwag: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Marszałek Województwa Mazowieckiego, 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Starosta Grodziski, 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Starosta Sochaczewski, 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Wójt Gminy Baranów, 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Burmistrz Błonia, 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Burmistrz Grodziska Mazowieckiego, 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Wójt Gminy Jaktorów, 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Burmistrz Miasta Sochaczew, 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Wójt Gminy Sochaczew, 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Wójt Gminy Teresin, 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Burmistrz Miasta i Gminy Wiskitki, 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Wójt Gminy Kampinos, 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Związek Miast Polskich,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Związek Samorządów Polskich,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Federacja Regionalnych Związków Gmin i Powiatów RP,  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Związek Powiatów Polskich,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Związek Województw Rzeczypospolitej Polskiej.</w:t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</w:r>
          </w:p>
        </w:tc>
        <w:tc>
          <w:tcPr>
            <w:tcW w:w="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63" w:hRule="atLeast"/>
        </w:trPr>
        <w:tc>
          <w:tcPr>
            <w:tcW w:w="1093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60" w:after="60"/>
              <w:ind w:left="318" w:hanging="284"/>
              <w:jc w:val="both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Wpływ na sektor finansów publicznych</w:t>
            </w:r>
          </w:p>
        </w:tc>
        <w:tc>
          <w:tcPr>
            <w:tcW w:w="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313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40" w:after="40"/>
              <w:rPr>
                <w:rFonts w:ascii="Times New Roman" w:hAnsi="Times New Roman"/>
                <w:i/>
                <w:i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(ceny stałe z …… r.)</w:t>
            </w:r>
          </w:p>
        </w:tc>
        <w:tc>
          <w:tcPr>
            <w:tcW w:w="780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40" w:after="40"/>
              <w:jc w:val="center"/>
              <w:rPr>
                <w:rFonts w:ascii="Times New Roman" w:hAnsi="Times New Roman"/>
                <w:i/>
                <w:i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Skutki w okresie 10 lat od wejścia w życie zmian [mln zł]</w:t>
            </w:r>
          </w:p>
        </w:tc>
        <w:tc>
          <w:tcPr>
            <w:tcW w:w="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3133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40" w:after="40"/>
              <w:rPr>
                <w:rFonts w:ascii="Times New Roman" w:hAnsi="Times New Roman"/>
                <w:i/>
                <w:i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40" w:after="40"/>
              <w:jc w:val="center"/>
              <w:rPr>
                <w:rFonts w:ascii="Times New Roman" w:hAnsi="Times New Roman"/>
                <w:i/>
                <w:i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 (0-10)</w:t>
            </w:r>
          </w:p>
        </w:tc>
        <w:tc>
          <w:tcPr>
            <w:tcW w:w="15" w:type="dxa"/>
            <w:gridSpan w:val="4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1" w:hRule="atLeast"/>
        </w:trPr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r>
          </w:p>
        </w:tc>
      </w:tr>
      <w:tr>
        <w:trPr>
          <w:trHeight w:val="344" w:hRule="atLeast"/>
        </w:trPr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</w:tr>
      <w:tr>
        <w:trPr>
          <w:trHeight w:val="344" w:hRule="atLeast"/>
        </w:trPr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</w:tr>
      <w:tr>
        <w:trPr>
          <w:trHeight w:val="330" w:hRule="atLeast"/>
        </w:trPr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</w:tr>
      <w:tr>
        <w:trPr>
          <w:trHeight w:val="351" w:hRule="atLeast"/>
        </w:trPr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</w:tr>
      <w:tr>
        <w:trPr>
          <w:trHeight w:val="351" w:hRule="atLeast"/>
        </w:trPr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</w:tr>
      <w:tr>
        <w:trPr>
          <w:trHeight w:val="360" w:hRule="atLeast"/>
        </w:trPr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</w:tr>
      <w:tr>
        <w:trPr>
          <w:trHeight w:val="357" w:hRule="atLeast"/>
        </w:trPr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</w:tr>
      <w:tr>
        <w:trPr>
          <w:trHeight w:val="357" w:hRule="atLeast"/>
        </w:trPr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</w:tr>
      <w:tr>
        <w:trPr>
          <w:trHeight w:val="348" w:hRule="atLeast"/>
        </w:trPr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Źródła finansowania </w:t>
            </w:r>
          </w:p>
        </w:tc>
        <w:tc>
          <w:tcPr>
            <w:tcW w:w="869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Rozporządzenie nie powoduje skutków finansowych dla jednostek sektora finansów publicznych, w tym budżetu państwa i budżetów jednostek samorządu terytorialnego, polegających na zwiększeniu wydatków lub zmniejszeniu dochodów tych jednostek w stosunku do wielkości wynikających z obowiązujących przepisów.</w:t>
            </w:r>
          </w:p>
        </w:tc>
        <w:tc>
          <w:tcPr>
            <w:tcW w:w="1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7" w:hRule="atLeast"/>
        </w:trPr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869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Ewentualny zakup nieruchomości w ramach PDN finansowany będzie przez Spółkę Celową z Programu CPK – program wieloletni, o którym mowa w art. 2 pkt 7 uCPK – uchwała nr 201 Rady Ministrów z dnia 24 października 2023 r. w sprawie ustanowienia programu wieloletniego – „Program inwestycyjny Centralny Port Komunikacyjny. Etap II. 2024-2032”, opublikowana w Monitorze Polskim z dnia 20 listopada 2023 r. (M.P. poz. 1258, z późn. zm.). Oszacowanie precyzyjnych skutków finansowych, zarówno dla Spółki Celowej jak i dla osób zbywających nieruchomości na jej rzecz może być obarczone bardzo znaczącymi błędami. </w:t>
            </w:r>
          </w:p>
        </w:tc>
        <w:tc>
          <w:tcPr>
            <w:tcW w:w="1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1093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120" w:after="120"/>
              <w:jc w:val="both"/>
              <w:rPr>
                <w:rFonts w:ascii="Times New Roman" w:hAnsi="Times New Roman"/>
                <w:b/>
                <w:b/>
                <w:color w:val="000000"/>
                <w:spacing w:val="-2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>
              <w:rPr>
                <w:rFonts w:ascii="Times New Roman" w:hAnsi="Times New Roman"/>
                <w:b/>
                <w:color w:val="000000"/>
              </w:rPr>
              <w:t xml:space="preserve">konkurencyjność gospodarki i przedsiębiorczość, w tym funkcjonowanie przedsiębiorców oraz na rodzinę, obywateli i gospodarstwa domowe </w:t>
            </w:r>
          </w:p>
        </w:tc>
        <w:tc>
          <w:tcPr>
            <w:tcW w:w="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1093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Skutki</w:t>
            </w:r>
          </w:p>
        </w:tc>
        <w:tc>
          <w:tcPr>
            <w:tcW w:w="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38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Czas w latach od wejścia w życie zmian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i/>
                <w:i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 (0-10)</w:t>
            </w:r>
          </w:p>
        </w:tc>
        <w:tc>
          <w:tcPr>
            <w:tcW w:w="14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W ujęciu pieniężnym</w:t>
            </w:r>
          </w:p>
          <w:p>
            <w:pPr>
              <w:pStyle w:val="Normal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(w mln zł, 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ceny stałe z …… r.)</w:t>
            </w:r>
          </w:p>
        </w:tc>
        <w:tc>
          <w:tcPr>
            <w:tcW w:w="2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  <w:tc>
          <w:tcPr>
            <w:tcW w:w="14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15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  <w:tc>
          <w:tcPr>
            <w:tcW w:w="14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15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rodzina, obywatele oraz gospodarstwa domowe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  <w:tc>
          <w:tcPr>
            <w:tcW w:w="14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15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/>
            </w:pPr>
            <w:r>
              <w:fldChar w:fldCharType="begin">
                <w:ffData>
                  <w:name w:val="Bookmark"/>
                  <w:enabled/>
                  <w:calcOnExit w:val="0"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>
              <w:rPr>
                <w:sz w:val="21"/>
                <w:szCs w:val="21"/>
                <w:rFonts w:ascii="Times New Roman" w:hAnsi="Times New Roman"/>
              </w:rPr>
              <w:instrText> FORMTEXT </w:instrText>
            </w:r>
            <w:r>
              <w:rPr>
                <w:sz w:val="21"/>
                <w:szCs w:val="21"/>
                <w:rFonts w:ascii="Times New Roman" w:hAnsi="Times New Roman"/>
              </w:rPr>
              <w:fldChar w:fldCharType="separate"/>
            </w:r>
            <w:bookmarkStart w:id="3" w:name="Bookmark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(dodaj/usuń)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  <w:r>
              <w:rPr>
                <w:sz w:val="21"/>
                <w:szCs w:val="21"/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r>
          </w:p>
        </w:tc>
        <w:tc>
          <w:tcPr>
            <w:tcW w:w="14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W ujęciu niepieniężnym</w:t>
            </w:r>
          </w:p>
        </w:tc>
        <w:tc>
          <w:tcPr>
            <w:tcW w:w="2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704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Brak bezpośredniego wpływu na sektor dużych przedsiębiorstw</w:t>
            </w:r>
          </w:p>
        </w:tc>
        <w:tc>
          <w:tcPr>
            <w:tcW w:w="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15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704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Wejście w życie proponowanych rozwiązań może mieć wpływ na sektor mikro-, małych i średnich przedsiębiorstw. Wprowadzane zostają narzędzia umożliwiające wcześniejsze zbycie nieruchomości na korzystnych zasadach, co pozwoli przedsiębiorcom, na których potencjalnie oddziaływać będzie zakaz wydawania decyzji o warunkach zabudowy oraz w przyszłości realizacja inwestycji kolejowych i drogowych w otoczeniu planowanego lotniska na przeniesienie działalności poza obszarem inwestycji. Przeniesienie to będzie rekompensowane w ramach PDN.</w:t>
            </w:r>
          </w:p>
        </w:tc>
        <w:tc>
          <w:tcPr>
            <w:tcW w:w="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96" w:hRule="atLeast"/>
        </w:trPr>
        <w:tc>
          <w:tcPr>
            <w:tcW w:w="15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  <w:tab w:val="right" w:pos="1936" w:leader="none"/>
              </w:tabs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rodzina, obywatele oraz gospodarstwa domowe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right" w:pos="1936" w:leader="none"/>
              </w:tabs>
              <w:spacing w:lineRule="auto" w:line="240" w:before="0" w:after="1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sytuacja ekonomiczna i społeczna osób niepełnosprawnych i osób starszych</w:t>
            </w:r>
          </w:p>
        </w:tc>
        <w:tc>
          <w:tcPr>
            <w:tcW w:w="704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1"/>
                <w:szCs w:val="21"/>
              </w:rPr>
              <w:t>Wprowadzenie narzędzi umożliwiających wcześniejsze zbycie nieruchomości na korzystnych zasadach umożliwi osobom, na które potencjalnie oddziaływać będzie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 w:themeColor="text1"/>
                <w:sz w:val="21"/>
                <w:szCs w:val="21"/>
              </w:rPr>
              <w:t xml:space="preserve">zakaz wydawania decyzji o warunkach zabudowy oraz w przyszłości realizacja inwestycji kolejowych i drogowych w otoczeniu planowanego lotniska na urządzenie centrum interesów życiowych poza obszarem inwestycji. </w:t>
            </w:r>
          </w:p>
        </w:tc>
        <w:tc>
          <w:tcPr>
            <w:tcW w:w="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15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  <w:tab w:val="right" w:pos="1936" w:leader="none"/>
              </w:tabs>
              <w:rPr/>
            </w:pPr>
            <w:r>
              <w:fldChar w:fldCharType="begin">
                <w:ffData>
                  <w:name w:val="Bookmark1"/>
                  <w:enabled/>
                  <w:calcOnExit w:val="0"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>
              <w:rPr>
                <w:sz w:val="21"/>
                <w:szCs w:val="21"/>
                <w:rFonts w:ascii="Times New Roman" w:hAnsi="Times New Roman"/>
              </w:rPr>
              <w:instrText> FORMTEXT </w:instrText>
            </w:r>
            <w:r>
              <w:rPr>
                <w:sz w:val="21"/>
                <w:szCs w:val="21"/>
                <w:rFonts w:ascii="Times New Roman" w:hAnsi="Times New Roman"/>
              </w:rPr>
              <w:fldChar w:fldCharType="separate"/>
            </w:r>
            <w:bookmarkStart w:id="4" w:name="Bookmark1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(dodaj/usuń)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  <w:r>
              <w:rPr>
                <w:sz w:val="21"/>
                <w:szCs w:val="21"/>
                <w:rFonts w:ascii="Times New Roman" w:hAnsi="Times New Roman"/>
              </w:rPr>
              <w:fldChar w:fldCharType="end"/>
            </w:r>
            <w:bookmarkEnd w:id="4"/>
          </w:p>
        </w:tc>
        <w:tc>
          <w:tcPr>
            <w:tcW w:w="704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  <w:tab w:val="left" w:pos="3000" w:leader="none"/>
              </w:tabs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r>
          </w:p>
        </w:tc>
        <w:tc>
          <w:tcPr>
            <w:tcW w:w="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Niemierzalne</w:t>
            </w:r>
          </w:p>
        </w:tc>
        <w:tc>
          <w:tcPr>
            <w:tcW w:w="2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704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Brak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15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2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/>
            </w:pPr>
            <w:r>
              <w:fldChar w:fldCharType="begin">
                <w:ffData>
                  <w:name w:val="Bookmark2"/>
                  <w:enabled/>
                  <w:calcOnExit w:val="0"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>
              <w:rPr>
                <w:sz w:val="21"/>
                <w:szCs w:val="21"/>
                <w:rFonts w:ascii="Times New Roman" w:hAnsi="Times New Roman"/>
              </w:rPr>
              <w:instrText> FORMTEXT </w:instrText>
            </w:r>
            <w:r>
              <w:rPr>
                <w:sz w:val="21"/>
                <w:szCs w:val="21"/>
                <w:rFonts w:ascii="Times New Roman" w:hAnsi="Times New Roman"/>
              </w:rPr>
              <w:fldChar w:fldCharType="separate"/>
            </w:r>
            <w:bookmarkStart w:id="5" w:name="Bookmark2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(dodaj/usuń)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  <w:r>
              <w:rPr>
                <w:sz w:val="21"/>
                <w:szCs w:val="21"/>
                <w:rFonts w:ascii="Times New Roman" w:hAnsi="Times New Roman"/>
              </w:rPr>
              <w:fldChar w:fldCharType="end"/>
            </w:r>
            <w:bookmarkEnd w:id="5"/>
          </w:p>
        </w:tc>
        <w:tc>
          <w:tcPr>
            <w:tcW w:w="704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r>
          </w:p>
        </w:tc>
        <w:tc>
          <w:tcPr>
            <w:tcW w:w="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72" w:hRule="atLeast"/>
        </w:trPr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</w:p>
        </w:tc>
        <w:tc>
          <w:tcPr>
            <w:tcW w:w="1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2" w:hRule="atLeast"/>
        </w:trPr>
        <w:tc>
          <w:tcPr>
            <w:tcW w:w="1093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60" w:after="60"/>
              <w:ind w:left="318" w:hanging="284"/>
              <w:jc w:val="both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Zmiana obciążeń regulacyjnych (w tym obowiązków informacyjnych) wynikających z projektu</w:t>
            </w:r>
          </w:p>
        </w:tc>
        <w:tc>
          <w:tcPr>
            <w:tcW w:w="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1" w:hRule="atLeast"/>
        </w:trPr>
        <w:tc>
          <w:tcPr>
            <w:tcW w:w="1093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color w:val="000000"/>
                    <w:spacing w:val="-2"/>
                  </w:rPr>
                  <w:t>☒</w:t>
                </w:r>
              </w:sdtContent>
            </w:sdt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  <w:tc>
          <w:tcPr>
            <w:tcW w:w="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46" w:hRule="atLeast"/>
        </w:trPr>
        <w:tc>
          <w:tcPr>
            <w:tcW w:w="51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Wprowadzane są obciążenia poza bezwzględnie wymaganymi przez UE </w:t>
            </w:r>
            <w:r>
              <w:rPr>
                <w:rFonts w:ascii="Times New Roman" w:hAnsi="Times New Roman"/>
                <w:color w:val="000000"/>
              </w:rPr>
              <w:t>(szczegóły w odwróconej tabeli zgodności).</w:t>
            </w:r>
          </w:p>
        </w:tc>
        <w:tc>
          <w:tcPr>
            <w:tcW w:w="582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color w:val="000000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tak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color w:val="000000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nie</w:t>
            </w:r>
          </w:p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color w:val="000000"/>
                  </w:rPr>
                  <w:t>☒</w:t>
                </w:r>
              </w:sdtContent>
            </w:sdt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nie dotyczy</w:t>
            </w:r>
          </w:p>
        </w:tc>
        <w:tc>
          <w:tcPr>
            <w:tcW w:w="1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45" w:hRule="atLeast"/>
        </w:trPr>
        <w:tc>
          <w:tcPr>
            <w:tcW w:w="51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color w:val="000000"/>
                    <w:spacing w:val="-2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zmniejszenie liczby dokumentów 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color w:val="000000"/>
                    <w:spacing w:val="-2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color w:val="000000"/>
                    <w:spacing w:val="-2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skrócenie czasu na załatwienie sprawy</w:t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color w:val="000000"/>
                <w:spacing w:val="-2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color w:val="000000"/>
                    <w:spacing w:val="-2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inne:</w:t>
            </w:r>
            <w:r>
              <w:rPr>
                <w:rFonts w:ascii="Times New Roman" w:hAnsi="Times New Roman"/>
                <w:color w:val="000000"/>
              </w:rPr>
              <w:t xml:space="preserve"> …</w:t>
            </w:r>
          </w:p>
        </w:tc>
        <w:tc>
          <w:tcPr>
            <w:tcW w:w="582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color w:val="000000"/>
                    <w:spacing w:val="-2"/>
                  </w:rPr>
                  <w:t>☒</w:t>
                </w:r>
              </w:sdtContent>
            </w:sdt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color w:val="000000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color w:val="000000"/>
                    <w:spacing w:val="-2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wydłużenie czasu na załatwienie sprawy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color w:val="000000"/>
                    <w:spacing w:val="-2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inne:</w:t>
            </w:r>
            <w:r>
              <w:rPr>
                <w:rFonts w:ascii="Times New Roman" w:hAnsi="Times New Roman"/>
                <w:color w:val="000000"/>
              </w:rPr>
              <w:t xml:space="preserve"> …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70" w:hRule="atLeast"/>
        </w:trPr>
        <w:tc>
          <w:tcPr>
            <w:tcW w:w="51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582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color w:val="000000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tak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color w:val="000000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nie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color w:val="000000"/>
                  </w:rPr>
                  <w:t>☒</w:t>
                </w:r>
              </w:sdtContent>
            </w:sdt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nie dotyczy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30" w:hRule="atLeast"/>
        </w:trPr>
        <w:tc>
          <w:tcPr>
            <w:tcW w:w="1093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Wejście w życie rozporządzenia spowoduje zwiększenie obciążeń po stronie Pełnomocnika Rządu ds. Centralnego Portu Komunikacyjnego w zakresie wydawania zgód, o których mowa w art. 29 ust. 1 pkt 1 i ust. 7 uCPK, oraz wojewody w zakresie wydawanie decyzji w sprawie przyznania odszkodowania w przypadku, o którym mowa w art. 29g uCPK. </w:t>
            </w:r>
          </w:p>
        </w:tc>
        <w:tc>
          <w:tcPr>
            <w:tcW w:w="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1093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60" w:after="60"/>
              <w:jc w:val="both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  <w:tc>
          <w:tcPr>
            <w:tcW w:w="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1093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Projekt nie wywiera wpływu na rynek pracy.</w:t>
            </w:r>
          </w:p>
        </w:tc>
        <w:tc>
          <w:tcPr>
            <w:tcW w:w="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1093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60" w:after="60"/>
              <w:jc w:val="both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  <w:tc>
          <w:tcPr>
            <w:tcW w:w="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31" w:hRule="atLeast"/>
        </w:trPr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color w:val="000000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color w:val="000000"/>
                  </w:rPr>
                  <w:t>☒</w:t>
                </w:r>
              </w:sdtContent>
            </w:sdt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sytuacja i rozwój regionalny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color w:val="000000"/>
                  </w:rPr>
                  <w:t>☐</w:t>
                </w:r>
              </w:sdtContent>
            </w:sdt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sądy powszechne, administracyjne lub wojskowe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</w:r>
          </w:p>
        </w:tc>
        <w:tc>
          <w:tcPr>
            <w:tcW w:w="36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color w:val="000000"/>
                    <w:spacing w:val="-2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color w:val="000000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mienie państwowe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inne: …</w:t>
            </w:r>
          </w:p>
        </w:tc>
        <w:tc>
          <w:tcPr>
            <w:tcW w:w="37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color w:val="000000"/>
                    <w:spacing w:val="-2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color w:val="000000"/>
                    <w:spacing w:val="-2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  <w:tc>
          <w:tcPr>
            <w:tcW w:w="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12" w:hRule="atLeast"/>
        </w:trPr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69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Rozszerzenie obszaru objętego niniejszym rozporządzeniem pozwoli na skoordynowanie i uporządkowanie kwestii związanych z planowaniem przestrzennym w sąsiedztwie Centralnego Portu Komunikacyjnego. Wpłynie na zabezpieczenie możliwości sprawnej realizacji najważniejszych elementów Inwestycji i Inwestycji Towarzyszących. Przyczyni się do przekształceń przestrzenno-funkcjonalnych, które będą skutkowały rozwojem całego regionu.</w:t>
            </w:r>
          </w:p>
        </w:tc>
        <w:tc>
          <w:tcPr>
            <w:tcW w:w="12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1093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60" w:after="60"/>
              <w:ind w:left="318" w:hanging="284"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Planowane wykonanie przepisów aktu prawnego</w:t>
            </w:r>
          </w:p>
        </w:tc>
        <w:tc>
          <w:tcPr>
            <w:tcW w:w="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1093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Wykonanie rozporządzenie nastąpi z dniem jego wejścia w życie.</w:t>
            </w:r>
          </w:p>
        </w:tc>
        <w:tc>
          <w:tcPr>
            <w:tcW w:w="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1093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60" w:after="60"/>
              <w:ind w:left="318" w:hanging="284"/>
              <w:jc w:val="both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W jaki sposób i kiedy nastąpi ewaluacja efektów projektu oraz jakie mierniki zostaną zastosowane?</w:t>
            </w:r>
          </w:p>
        </w:tc>
        <w:tc>
          <w:tcPr>
            <w:tcW w:w="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1093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Projektodawca nie określił mierników, nie jest planowana ewaluacja efektów projektu.</w:t>
            </w:r>
          </w:p>
        </w:tc>
        <w:tc>
          <w:tcPr>
            <w:tcW w:w="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1093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60" w:after="60"/>
              <w:ind w:left="318" w:hanging="284"/>
              <w:jc w:val="both"/>
              <w:rPr>
                <w:rFonts w:ascii="Times New Roman" w:hAnsi="Times New Roman"/>
                <w:b/>
                <w:b/>
                <w:color w:val="000000"/>
                <w:spacing w:val="-2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(istotne dokumenty źródłowe, badania, analizy itp.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  <w:tc>
          <w:tcPr>
            <w:tcW w:w="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1093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Brak.</w:t>
            </w:r>
          </w:p>
        </w:tc>
        <w:tc>
          <w:tcPr>
            <w:tcW w:w="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agwek1"/>
        <w:keepNext w:val="true"/>
        <w:spacing w:lineRule="auto" w:line="240" w:before="240" w:after="60"/>
        <w:outlineLvl w:val="0"/>
        <w:rPr/>
      </w:pPr>
      <w:r>
        <w:rPr>
          <w:rFonts w:ascii="Times New Roman" w:hAnsi="Times New Roman"/>
          <w:sz w:val="20"/>
          <w:szCs w:val="20"/>
        </w:rPr>
        <w:t xml:space="preserve"> </w:t>
      </w:r>
    </w:p>
    <w:sectPr>
      <w:type w:val="nextPage"/>
      <w:pgSz w:w="11906" w:h="16838"/>
      <w:pgMar w:left="720" w:right="707" w:header="0" w:top="568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S Gothic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umentProtection w:edit="forms" w:formatting="1" w:cryptProviderType="rsaAES" w:cryptAlgorithmClass="hash" w:cryptAlgorithmType="typeAny" w:cryptAlgorithmSid="" w:cryptSpinCount="0" w:hash="" w:salt=""/>
  <w:themeFontLang w:val="pl-PL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3cfe"/>
    <w:pPr>
      <w:widowControl/>
      <w:bidi w:val="0"/>
      <w:spacing w:lineRule="auto" w:line="276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Nagwek1">
    <w:name w:val="Heading 1"/>
    <w:basedOn w:val="Normal"/>
    <w:next w:val="Normal"/>
    <w:qFormat/>
    <w:locked/>
    <w:rsid w:val="006176ed"/>
    <w:pPr>
      <w:keepNext w:val="true"/>
      <w:spacing w:lineRule="auto" w:line="240" w:before="240" w:after="60"/>
      <w:outlineLvl w:val="0"/>
    </w:pPr>
    <w:rPr>
      <w:rFonts w:ascii="Arial" w:hAnsi="Arial" w:eastAsia="Times New Roman" w:cs="Arial"/>
      <w:b/>
      <w:bCs/>
      <w:kern w:val="2"/>
      <w:sz w:val="32"/>
      <w:szCs w:val="32"/>
      <w:lang w:eastAsia="pl-PL"/>
    </w:rPr>
  </w:style>
  <w:style w:type="paragraph" w:styleId="Nagwek3">
    <w:name w:val="Heading 3"/>
    <w:basedOn w:val="Normal"/>
    <w:next w:val="Normal"/>
    <w:qFormat/>
    <w:locked/>
    <w:rsid w:val="00522d94"/>
    <w:pPr>
      <w:keepNext w:val="true"/>
      <w:spacing w:lineRule="auto" w:line="240" w:before="240" w:after="60"/>
      <w:outlineLvl w:val="2"/>
    </w:pPr>
    <w:rPr>
      <w:rFonts w:ascii="Arial" w:hAnsi="Arial" w:eastAsia="Times New Roman" w:cs="Arial"/>
      <w:b/>
      <w:bCs/>
      <w:sz w:val="26"/>
      <w:szCs w:val="2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link w:val="Tekstdymka"/>
    <w:uiPriority w:val="99"/>
    <w:semiHidden/>
    <w:qFormat/>
    <w:locked/>
    <w:rsid w:val="004702c9"/>
    <w:rPr>
      <w:rFonts w:ascii="Tahoma" w:hAnsi="Tahoma" w:cs="Tahoma"/>
      <w:sz w:val="16"/>
      <w:szCs w:val="16"/>
    </w:rPr>
  </w:style>
  <w:style w:type="character" w:styleId="NagwekZnak" w:customStyle="1">
    <w:name w:val="Nagłówek Znak"/>
    <w:link w:val="Nagwek"/>
    <w:uiPriority w:val="99"/>
    <w:qFormat/>
    <w:rsid w:val="00044739"/>
    <w:rPr>
      <w:lang w:eastAsia="en-US"/>
    </w:rPr>
  </w:style>
  <w:style w:type="character" w:styleId="StopkaZnak" w:customStyle="1">
    <w:name w:val="Stopka Znak"/>
    <w:link w:val="Stopka"/>
    <w:uiPriority w:val="99"/>
    <w:qFormat/>
    <w:rsid w:val="00044739"/>
    <w:rPr>
      <w:lang w:eastAsia="en-US"/>
    </w:rPr>
  </w:style>
  <w:style w:type="character" w:styleId="TekstprzypisukocowegoZnak" w:customStyle="1">
    <w:name w:val="Tekst przypisu końcowego Znak"/>
    <w:link w:val="Tekstprzypisukocowego"/>
    <w:uiPriority w:val="99"/>
    <w:semiHidden/>
    <w:qFormat/>
    <w:rsid w:val="00df58cd"/>
    <w:rPr>
      <w:sz w:val="20"/>
      <w:szCs w:val="20"/>
      <w:lang w:eastAsia="en-US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sid w:val="00df58cd"/>
    <w:rPr>
      <w:vertAlign w:val="superscript"/>
    </w:rPr>
  </w:style>
  <w:style w:type="character" w:styleId="Annotationreference">
    <w:name w:val="annotation reference"/>
    <w:uiPriority w:val="99"/>
    <w:semiHidden/>
    <w:unhideWhenUsed/>
    <w:qFormat/>
    <w:rsid w:val="00a17cb2"/>
    <w:rPr>
      <w:sz w:val="16"/>
      <w:szCs w:val="16"/>
    </w:rPr>
  </w:style>
  <w:style w:type="character" w:styleId="TekstkomentarzaZnak" w:customStyle="1">
    <w:name w:val="Tekst komentarza Znak"/>
    <w:link w:val="Tekstkomentarza"/>
    <w:uiPriority w:val="99"/>
    <w:qFormat/>
    <w:rsid w:val="00a17cb2"/>
    <w:rPr>
      <w:lang w:eastAsia="en-US"/>
    </w:rPr>
  </w:style>
  <w:style w:type="character" w:styleId="TematkomentarzaZnak" w:customStyle="1">
    <w:name w:val="Temat komentarza Znak"/>
    <w:link w:val="Tematkomentarza"/>
    <w:uiPriority w:val="99"/>
    <w:semiHidden/>
    <w:qFormat/>
    <w:rsid w:val="00a17cb2"/>
    <w:rPr>
      <w:b/>
      <w:bCs/>
      <w:lang w:eastAsia="en-US"/>
    </w:rPr>
  </w:style>
  <w:style w:type="character" w:styleId="TekstprzypisudolnegoZnak" w:customStyle="1">
    <w:name w:val="Tekst przypisu dolnego Znak"/>
    <w:link w:val="Tekstprzypisudolnego"/>
    <w:uiPriority w:val="99"/>
    <w:semiHidden/>
    <w:qFormat/>
    <w:rsid w:val="00c047a7"/>
    <w:rPr>
      <w:lang w:eastAsia="en-US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c047a7"/>
    <w:rPr>
      <w:vertAlign w:val="superscript"/>
    </w:rPr>
  </w:style>
  <w:style w:type="character" w:styleId="Czeinternetowe">
    <w:name w:val="Łącze internetowe"/>
    <w:uiPriority w:val="99"/>
    <w:unhideWhenUsed/>
    <w:rsid w:val="0072636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qFormat/>
    <w:rsid w:val="00801f71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ef290c"/>
    <w:rPr>
      <w:color w:val="808080"/>
    </w:rPr>
  </w:style>
  <w:style w:type="character" w:styleId="Nierozpoznanawzmianka1" w:customStyle="1">
    <w:name w:val="Nierozpoznana wzmianka1"/>
    <w:basedOn w:val="DefaultParagraphFont"/>
    <w:uiPriority w:val="99"/>
    <w:unhideWhenUsed/>
    <w:qFormat/>
    <w:rsid w:val="0067566b"/>
    <w:rPr>
      <w:color w:val="605E5C"/>
      <w:shd w:fill="E1DFDD" w:val="clear"/>
    </w:rPr>
  </w:style>
  <w:style w:type="character" w:styleId="Wzmianka1" w:customStyle="1">
    <w:name w:val="Wzmianka1"/>
    <w:basedOn w:val="DefaultParagraphFont"/>
    <w:uiPriority w:val="99"/>
    <w:unhideWhenUsed/>
    <w:qFormat/>
    <w:rsid w:val="00cd5e69"/>
    <w:rPr>
      <w:color w:val="2B579A"/>
      <w:shd w:fill="E1DFDD" w:val="clear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i w:val="false"/>
    </w:rPr>
  </w:style>
  <w:style w:type="character" w:styleId="ListLabel10">
    <w:name w:val="ListLabel 10"/>
    <w:qFormat/>
    <w:rPr>
      <w:rFonts w:ascii="Times New Roman" w:hAnsi="Times New Roman"/>
      <w:b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qFormat/>
    <w:rsid w:val="004702c9"/>
    <w:pPr>
      <w:spacing w:lineRule="auto" w:line="240"/>
    </w:pPr>
    <w:rPr>
      <w:rFonts w:ascii="Tahoma" w:hAnsi="Tahoma" w:cs="Tahoma"/>
      <w:sz w:val="16"/>
      <w:szCs w:val="16"/>
    </w:rPr>
  </w:style>
  <w:style w:type="paragraph" w:styleId="Gwka">
    <w:name w:val="Header"/>
    <w:basedOn w:val="Normal"/>
    <w:link w:val="NagwekZnak"/>
    <w:uiPriority w:val="99"/>
    <w:unhideWhenUsed/>
    <w:rsid w:val="00044739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Stopka">
    <w:name w:val="Footer"/>
    <w:basedOn w:val="Normal"/>
    <w:link w:val="StopkaZnak"/>
    <w:uiPriority w:val="99"/>
    <w:unhideWhenUsed/>
    <w:rsid w:val="00044739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df58cd"/>
    <w:pPr>
      <w:spacing w:lineRule="auto" w:line="24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97078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a17cb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7cb2"/>
    <w:pPr/>
    <w:rPr>
      <w:b/>
      <w:bCs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c047a7"/>
    <w:pPr/>
    <w:rPr>
      <w:sz w:val="20"/>
      <w:szCs w:val="20"/>
    </w:rPr>
  </w:style>
  <w:style w:type="paragraph" w:styleId="Revision">
    <w:name w:val="Revision"/>
    <w:uiPriority w:val="99"/>
    <w:semiHidden/>
    <w:qFormat/>
    <w:rsid w:val="00e947e9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7646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1BFA08-CA9F-4AF9-91D6-5D6458516FEB}"/>
      </w:docPartPr>
      <w:docPartBody>
        <w:p w:rsidR="00F523DD" w:rsidRDefault="00AD66A9">
          <w:r w:rsidRPr="008D2484">
            <w:rPr>
              <w:rStyle w:val="Tekstzastpczy"/>
            </w:rPr>
            <w:t>Wybierz element.</w:t>
          </w:r>
        </w:p>
      </w:docPartBody>
    </w:docPart>
    <w:docPart>
      <w:docPartPr>
        <w:name w:val="DD55BFC4377540ACA4A37A1B195B13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409CBA-0405-4EDF-9351-8D3C5CC64AE4}"/>
      </w:docPartPr>
      <w:docPartBody>
        <w:p w:rsidR="00804610" w:rsidRDefault="000A5057" w:rsidP="000A5057">
          <w:pPr>
            <w:pStyle w:val="DD55BFC4377540ACA4A37A1B195B13A0"/>
          </w:pPr>
          <w:r w:rsidRPr="008D2484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6A9"/>
    <w:rsid w:val="000302AD"/>
    <w:rsid w:val="00053DCA"/>
    <w:rsid w:val="000563DD"/>
    <w:rsid w:val="0008223B"/>
    <w:rsid w:val="000A5057"/>
    <w:rsid w:val="000D03EB"/>
    <w:rsid w:val="00165029"/>
    <w:rsid w:val="001709D8"/>
    <w:rsid w:val="00171D24"/>
    <w:rsid w:val="00187130"/>
    <w:rsid w:val="001D6230"/>
    <w:rsid w:val="001E401A"/>
    <w:rsid w:val="001E43A3"/>
    <w:rsid w:val="00262C93"/>
    <w:rsid w:val="002644AE"/>
    <w:rsid w:val="002649C0"/>
    <w:rsid w:val="00276DE0"/>
    <w:rsid w:val="00347D3E"/>
    <w:rsid w:val="00350A9A"/>
    <w:rsid w:val="003A1AC3"/>
    <w:rsid w:val="003A7958"/>
    <w:rsid w:val="003E5B31"/>
    <w:rsid w:val="003F5AD9"/>
    <w:rsid w:val="00442837"/>
    <w:rsid w:val="004445FD"/>
    <w:rsid w:val="004619E0"/>
    <w:rsid w:val="00494D75"/>
    <w:rsid w:val="005B3D55"/>
    <w:rsid w:val="0063196A"/>
    <w:rsid w:val="00665789"/>
    <w:rsid w:val="00670914"/>
    <w:rsid w:val="00671BFD"/>
    <w:rsid w:val="00692C7B"/>
    <w:rsid w:val="006C22A5"/>
    <w:rsid w:val="00714FC5"/>
    <w:rsid w:val="007159FE"/>
    <w:rsid w:val="00743374"/>
    <w:rsid w:val="00747770"/>
    <w:rsid w:val="007534AA"/>
    <w:rsid w:val="00755F33"/>
    <w:rsid w:val="00767378"/>
    <w:rsid w:val="007939B2"/>
    <w:rsid w:val="00804610"/>
    <w:rsid w:val="008205D4"/>
    <w:rsid w:val="00855113"/>
    <w:rsid w:val="008C7CA2"/>
    <w:rsid w:val="00902065"/>
    <w:rsid w:val="009371FF"/>
    <w:rsid w:val="00943E6A"/>
    <w:rsid w:val="0096112D"/>
    <w:rsid w:val="009D0FE5"/>
    <w:rsid w:val="009E56F3"/>
    <w:rsid w:val="00A33557"/>
    <w:rsid w:val="00A44930"/>
    <w:rsid w:val="00A85F3A"/>
    <w:rsid w:val="00AC185F"/>
    <w:rsid w:val="00AD66A9"/>
    <w:rsid w:val="00B747C4"/>
    <w:rsid w:val="00BC61AA"/>
    <w:rsid w:val="00C5055A"/>
    <w:rsid w:val="00D03A9B"/>
    <w:rsid w:val="00DF3A24"/>
    <w:rsid w:val="00DF79B9"/>
    <w:rsid w:val="00E342B8"/>
    <w:rsid w:val="00EF0C83"/>
    <w:rsid w:val="00F068EE"/>
    <w:rsid w:val="00F118A9"/>
    <w:rsid w:val="00F523DD"/>
    <w:rsid w:val="00F676EF"/>
    <w:rsid w:val="00FA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45295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5057"/>
    <w:rPr>
      <w:color w:val="808080"/>
    </w:rPr>
  </w:style>
  <w:style w:type="paragraph" w:customStyle="1" w:styleId="DD55BFC4377540ACA4A37A1B195B13A0">
    <w:name w:val="DD55BFC4377540ACA4A37A1B195B13A0"/>
    <w:rsid w:val="000A505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LibreOffice/6.2.4.2$Windows_X86_64 LibreOffice_project/2412653d852ce75f65fbfa83fb7e7b669a126d64</Application>
  <Pages>5</Pages>
  <Words>2316</Words>
  <Characters>14832</Characters>
  <CharactersWithSpaces>16912</CharactersWithSpaces>
  <Paragraphs>249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2025-11-18T16:27:00Z</dcterms:created>
  <dc:creator/>
  <dc:description/>
  <dc:language>pl-PL</dc:language>
  <cp:lastModifiedBy/>
  <dcterms:modified xsi:type="dcterms:W3CDTF">2025-11-20T06:55:00Z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