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0F8A4" w14:textId="77777777" w:rsidR="0001141F" w:rsidRPr="000C1849" w:rsidRDefault="0001141F" w:rsidP="003048A4">
      <w:pPr>
        <w:pStyle w:val="TEKSTZacznikido"/>
        <w:ind w:left="0"/>
        <w:jc w:val="center"/>
      </w:pPr>
      <w:r w:rsidRPr="000C1849">
        <w:t>UZASADNIENIE</w:t>
      </w:r>
    </w:p>
    <w:p w14:paraId="0A5D9F75" w14:textId="0B410004" w:rsidR="0001141F" w:rsidRPr="000C1849" w:rsidRDefault="0001141F" w:rsidP="3056B187">
      <w:pPr>
        <w:widowControl/>
        <w:autoSpaceDE/>
        <w:autoSpaceDN/>
        <w:adjustRightInd/>
        <w:spacing w:after="160"/>
        <w:jc w:val="both"/>
        <w:rPr>
          <w:rFonts w:asciiTheme="minorHAnsi" w:hAnsiTheme="minorHAnsi" w:cstheme="minorBidi"/>
          <w:lang w:eastAsia="en-US"/>
        </w:rPr>
      </w:pPr>
      <w:r w:rsidRPr="3056B187">
        <w:rPr>
          <w:rFonts w:eastAsia="Times New Roman" w:cs="Times New Roman"/>
          <w:color w:val="000000" w:themeColor="text1"/>
        </w:rPr>
        <w:t>Projektowana uchwała stanowi wykonanie upoważnienia ustawowego zawartego w art. 120zk ust. 1 ustawy z dnia 10 maja 2018 r. o Centralnym Porcie Komunikacyjnym (Dz. U. z 202</w:t>
      </w:r>
      <w:r w:rsidR="0044574E" w:rsidRPr="3056B187">
        <w:rPr>
          <w:rFonts w:eastAsia="Times New Roman" w:cs="Times New Roman"/>
          <w:color w:val="000000" w:themeColor="text1"/>
        </w:rPr>
        <w:t>4</w:t>
      </w:r>
      <w:r w:rsidRPr="3056B187">
        <w:rPr>
          <w:rFonts w:eastAsia="Times New Roman" w:cs="Times New Roman"/>
          <w:color w:val="000000" w:themeColor="text1"/>
        </w:rPr>
        <w:t xml:space="preserve"> r. poz. </w:t>
      </w:r>
      <w:r w:rsidR="0044574E" w:rsidRPr="3056B187">
        <w:rPr>
          <w:rFonts w:eastAsia="Times New Roman" w:cs="Times New Roman"/>
          <w:color w:val="000000" w:themeColor="text1"/>
        </w:rPr>
        <w:t>1747</w:t>
      </w:r>
      <w:r w:rsidRPr="3056B187">
        <w:rPr>
          <w:rFonts w:eastAsia="Times New Roman" w:cs="Times New Roman"/>
          <w:color w:val="000000" w:themeColor="text1"/>
        </w:rPr>
        <w:t>)</w:t>
      </w:r>
      <w:r w:rsidR="00512541" w:rsidRPr="3056B187">
        <w:rPr>
          <w:rFonts w:eastAsia="Times New Roman" w:cs="Times New Roman"/>
          <w:color w:val="000000" w:themeColor="text1"/>
        </w:rPr>
        <w:t>,</w:t>
      </w:r>
      <w:r w:rsidRPr="3056B187">
        <w:rPr>
          <w:rFonts w:eastAsia="Times New Roman" w:cs="Times New Roman"/>
          <w:color w:val="000000" w:themeColor="text1"/>
        </w:rPr>
        <w:t xml:space="preserve"> </w:t>
      </w:r>
      <w:r w:rsidR="006F0203" w:rsidRPr="3056B187">
        <w:rPr>
          <w:rFonts w:eastAsia="Times New Roman" w:cs="Times New Roman"/>
          <w:color w:val="000000" w:themeColor="text1"/>
        </w:rPr>
        <w:t>zwanej dalej</w:t>
      </w:r>
      <w:r w:rsidRPr="3056B187">
        <w:rPr>
          <w:rFonts w:eastAsia="Times New Roman" w:cs="Times New Roman"/>
          <w:color w:val="000000" w:themeColor="text1"/>
        </w:rPr>
        <w:t>: „u</w:t>
      </w:r>
      <w:r w:rsidR="00257C76" w:rsidRPr="3056B187">
        <w:rPr>
          <w:rFonts w:eastAsia="Times New Roman" w:cs="Times New Roman"/>
          <w:color w:val="000000" w:themeColor="text1"/>
        </w:rPr>
        <w:t xml:space="preserve">stawą o </w:t>
      </w:r>
      <w:r w:rsidRPr="3056B187">
        <w:rPr>
          <w:rFonts w:eastAsia="Times New Roman" w:cs="Times New Roman"/>
          <w:color w:val="000000" w:themeColor="text1"/>
        </w:rPr>
        <w:t xml:space="preserve">CPK”, zgodnie z którym Rada Ministrów </w:t>
      </w:r>
      <w:r w:rsidR="00512541" w:rsidRPr="3056B187">
        <w:rPr>
          <w:rFonts w:cs="Times New Roman"/>
          <w:lang w:eastAsia="en-US"/>
        </w:rPr>
        <w:t>w drodze uchwały</w:t>
      </w:r>
      <w:r w:rsidR="00512541" w:rsidRPr="3056B187">
        <w:rPr>
          <w:rFonts w:eastAsia="Times New Roman" w:cs="Times New Roman"/>
          <w:color w:val="000000" w:themeColor="text1"/>
        </w:rPr>
        <w:t xml:space="preserve"> </w:t>
      </w:r>
      <w:r w:rsidRPr="3056B187">
        <w:rPr>
          <w:rFonts w:eastAsia="Times New Roman" w:cs="Times New Roman"/>
          <w:color w:val="000000" w:themeColor="text1"/>
        </w:rPr>
        <w:t xml:space="preserve">przyjmuje </w:t>
      </w:r>
      <w:r w:rsidRPr="3056B187">
        <w:rPr>
          <w:rFonts w:cs="Times New Roman"/>
          <w:lang w:eastAsia="en-US"/>
        </w:rPr>
        <w:t xml:space="preserve">Strategię rozwoju </w:t>
      </w:r>
      <w:r w:rsidR="00606884">
        <w:rPr>
          <w:rFonts w:cs="Times New Roman"/>
          <w:lang w:eastAsia="en-US"/>
        </w:rPr>
        <w:t>o</w:t>
      </w:r>
      <w:r w:rsidRPr="3056B187">
        <w:rPr>
          <w:rFonts w:cs="Times New Roman"/>
          <w:lang w:eastAsia="en-US"/>
        </w:rPr>
        <w:t xml:space="preserve">bszaru otoczenia Centralnego Portu Komunikacyjnego do </w:t>
      </w:r>
      <w:r w:rsidR="00606884" w:rsidRPr="3056B187">
        <w:rPr>
          <w:rFonts w:cs="Times New Roman"/>
          <w:lang w:eastAsia="en-US"/>
        </w:rPr>
        <w:t xml:space="preserve">roku </w:t>
      </w:r>
      <w:r w:rsidR="004070CC" w:rsidRPr="3056B187">
        <w:rPr>
          <w:rFonts w:cs="Times New Roman"/>
          <w:lang w:eastAsia="en-US"/>
        </w:rPr>
        <w:t>2044</w:t>
      </w:r>
      <w:r w:rsidR="00512541" w:rsidRPr="3056B187">
        <w:rPr>
          <w:rFonts w:cs="Times New Roman"/>
          <w:lang w:eastAsia="en-US"/>
        </w:rPr>
        <w:t>,</w:t>
      </w:r>
      <w:r w:rsidRPr="3056B187">
        <w:rPr>
          <w:rFonts w:cs="Times New Roman"/>
          <w:lang w:eastAsia="en-US"/>
        </w:rPr>
        <w:t xml:space="preserve"> </w:t>
      </w:r>
      <w:r w:rsidR="006F0203" w:rsidRPr="3056B187">
        <w:rPr>
          <w:rFonts w:cs="Times New Roman"/>
          <w:lang w:eastAsia="en-US"/>
        </w:rPr>
        <w:t>zwan</w:t>
      </w:r>
      <w:r w:rsidR="00154D8F" w:rsidRPr="3056B187">
        <w:rPr>
          <w:rFonts w:cs="Times New Roman"/>
          <w:lang w:eastAsia="en-US"/>
        </w:rPr>
        <w:t>ą</w:t>
      </w:r>
      <w:r w:rsidR="006F0203" w:rsidRPr="3056B187">
        <w:rPr>
          <w:rFonts w:cs="Times New Roman"/>
          <w:lang w:eastAsia="en-US"/>
        </w:rPr>
        <w:t xml:space="preserve"> dalej</w:t>
      </w:r>
      <w:r w:rsidRPr="3056B187">
        <w:rPr>
          <w:rFonts w:cs="Times New Roman"/>
          <w:lang w:eastAsia="en-US"/>
        </w:rPr>
        <w:t xml:space="preserve"> </w:t>
      </w:r>
      <w:r w:rsidR="006F0203" w:rsidRPr="3056B187">
        <w:rPr>
          <w:rFonts w:cs="Times New Roman"/>
          <w:lang w:eastAsia="en-US"/>
        </w:rPr>
        <w:t>„</w:t>
      </w:r>
      <w:r w:rsidRPr="3056B187">
        <w:rPr>
          <w:rFonts w:cs="Times New Roman"/>
          <w:lang w:eastAsia="en-US"/>
        </w:rPr>
        <w:t>Strategi</w:t>
      </w:r>
      <w:r w:rsidR="004E259A" w:rsidRPr="3056B187">
        <w:rPr>
          <w:rFonts w:cs="Times New Roman"/>
          <w:lang w:eastAsia="en-US"/>
        </w:rPr>
        <w:t>ą”</w:t>
      </w:r>
      <w:r w:rsidRPr="3056B187">
        <w:rPr>
          <w:rFonts w:cs="Times New Roman"/>
          <w:lang w:eastAsia="en-US"/>
        </w:rPr>
        <w:t xml:space="preserve">. </w:t>
      </w:r>
      <w:r w:rsidR="00512541" w:rsidRPr="3056B187">
        <w:rPr>
          <w:rFonts w:cs="Times New Roman"/>
          <w:lang w:eastAsia="en-US"/>
        </w:rPr>
        <w:t>Konieczność przygotowania Strategii wynika z</w:t>
      </w:r>
      <w:r w:rsidR="0009246E">
        <w:rPr>
          <w:rFonts w:cs="Times New Roman"/>
          <w:lang w:eastAsia="en-US"/>
        </w:rPr>
        <w:t> </w:t>
      </w:r>
      <w:r w:rsidR="00512541" w:rsidRPr="3056B187">
        <w:rPr>
          <w:rFonts w:cs="Times New Roman"/>
          <w:lang w:eastAsia="en-US"/>
        </w:rPr>
        <w:t>art.</w:t>
      </w:r>
      <w:r w:rsidR="0009246E">
        <w:rPr>
          <w:rFonts w:cs="Times New Roman"/>
          <w:lang w:eastAsia="en-US"/>
        </w:rPr>
        <w:t> </w:t>
      </w:r>
      <w:r w:rsidR="00512541" w:rsidRPr="3056B187">
        <w:rPr>
          <w:rFonts w:cs="Times New Roman"/>
          <w:lang w:eastAsia="en-US"/>
        </w:rPr>
        <w:t>120zi ust. 1 u</w:t>
      </w:r>
      <w:r w:rsidR="00F51556" w:rsidRPr="3056B187">
        <w:rPr>
          <w:rFonts w:cs="Times New Roman"/>
          <w:lang w:eastAsia="en-US"/>
        </w:rPr>
        <w:t xml:space="preserve">stawy o </w:t>
      </w:r>
      <w:r w:rsidR="00512541" w:rsidRPr="3056B187">
        <w:rPr>
          <w:rFonts w:cs="Times New Roman"/>
          <w:lang w:eastAsia="en-US"/>
        </w:rPr>
        <w:t xml:space="preserve">CPK. </w:t>
      </w:r>
      <w:r w:rsidRPr="3056B187">
        <w:rPr>
          <w:rFonts w:cs="Times New Roman"/>
          <w:color w:val="000000"/>
          <w:shd w:val="clear" w:color="auto" w:fill="FFFFFF"/>
          <w:lang w:eastAsia="en-US"/>
        </w:rPr>
        <w:t>Projekt tego dokumentu opracowuje Pełnomocnik Rządu ds.</w:t>
      </w:r>
      <w:r w:rsidR="0009246E">
        <w:rPr>
          <w:rFonts w:cs="Times New Roman"/>
          <w:color w:val="000000"/>
          <w:shd w:val="clear" w:color="auto" w:fill="FFFFFF"/>
          <w:lang w:eastAsia="en-US"/>
        </w:rPr>
        <w:t> </w:t>
      </w:r>
      <w:r w:rsidRPr="3056B187">
        <w:rPr>
          <w:rFonts w:cs="Times New Roman"/>
          <w:color w:val="000000"/>
          <w:shd w:val="clear" w:color="auto" w:fill="FFFFFF"/>
          <w:lang w:eastAsia="en-US"/>
        </w:rPr>
        <w:t>CPK we współpracy z jednostkami samorządu terytorialnego.</w:t>
      </w:r>
      <w:r w:rsidR="00477CFB" w:rsidRPr="000C1849">
        <w:t xml:space="preserve"> </w:t>
      </w:r>
      <w:r w:rsidR="00477CFB" w:rsidRPr="004E259A">
        <w:t>Spółka CPK działając na podstawie powierzenia Pełnomocnika Rządu ds. CPK jest w procesie opracowywania Strategii podmiotem stymulującym i koordynującym prace nad jej opracowaniem.</w:t>
      </w:r>
    </w:p>
    <w:p w14:paraId="421E89D8" w14:textId="6BF463D4" w:rsidR="00512541" w:rsidRPr="000C1849" w:rsidRDefault="008F39CB" w:rsidP="3056B187">
      <w:pPr>
        <w:widowControl/>
        <w:autoSpaceDE/>
        <w:autoSpaceDN/>
        <w:adjustRightInd/>
        <w:spacing w:after="120"/>
        <w:jc w:val="both"/>
        <w:rPr>
          <w:rFonts w:eastAsia="Times New Roman" w:cs="Times New Roman"/>
          <w:color w:val="000000" w:themeColor="text1"/>
          <w:lang w:eastAsia="en-US"/>
        </w:rPr>
      </w:pPr>
      <w:r w:rsidRPr="3056B187">
        <w:rPr>
          <w:rFonts w:eastAsia="Times New Roman" w:cs="Times New Roman"/>
          <w:color w:val="000000" w:themeColor="text1"/>
          <w:lang w:eastAsia="en-US"/>
        </w:rPr>
        <w:t>U</w:t>
      </w:r>
      <w:r w:rsidR="00512541" w:rsidRPr="3056B187">
        <w:rPr>
          <w:rFonts w:eastAsia="Times New Roman" w:cs="Times New Roman"/>
          <w:color w:val="000000" w:themeColor="text1"/>
          <w:lang w:eastAsia="en-US"/>
        </w:rPr>
        <w:t>zasadnieniem interwencji terytorialnej wobec obszaru otoczenia CPK jest przewidywane tempo przemian przestrzenno-społeczno-gospodarczych tego obszaru, oparte o analizę przekształceń regionów lotniskowych na świecie. Rozwój obszaru otoczenia CPK w</w:t>
      </w:r>
      <w:r w:rsidR="007F6E16" w:rsidRPr="3056B187">
        <w:rPr>
          <w:rFonts w:eastAsia="Times New Roman" w:cs="Times New Roman"/>
          <w:color w:val="000000" w:themeColor="text1"/>
          <w:lang w:eastAsia="en-US"/>
        </w:rPr>
        <w:t> </w:t>
      </w:r>
      <w:r w:rsidR="00512541" w:rsidRPr="3056B187">
        <w:rPr>
          <w:rFonts w:eastAsia="Times New Roman" w:cs="Times New Roman"/>
          <w:color w:val="000000" w:themeColor="text1"/>
          <w:lang w:eastAsia="en-US"/>
        </w:rPr>
        <w:t>najbliższych latach w istotny sposób determinowany będzie rozmiarem działań inwestycyjnych oraz przepustowością i sprawnością działania zrealizowanej infrastruktury komunikacyjnej. Tak dynamiczna zmiana uwarunkowań rozwojowych pozostaje bez precedensu w Polsce po 1989 r. Jednocześnie jednak istnieje możliwość czerpania z szeregu doświadczeń regionów lotniskowych na świecie, w ramach których udało się wypracować stabilne ramy zarządzania rozwojem. Skuteczność tych rozwiązań potwierdzono empirycznie – rozwijając z sukcesem regiony lotniskowe jako miejsce zrównoważonego rozwoju społeczno-gospodarczego. Porty lotnicze stanowią istotny czynnik rozwoju gospodarczego regionów, w których są zlokalizowane. Dzięki poprawie stopnia skomunikowania wpływają na większą mobilność ludzi, stwarzając nowe możliwości dla inwestorów i biznesu. Atrakcyjne tereny inwestycyjne wokół lotnisk przyciągają nowe inwestycje, które z kolei przekładają się bezpośrednio na tworzenie nowych miejsc pracy, poprawę dostępności transportowej oraz mobilności regionalnej. Hubowy charakter planowanego lotniska generuje również potencjał zwiększenia ruchu turystycznego i wzrostu zapotrzebowania na usługi w</w:t>
      </w:r>
      <w:r w:rsidR="00476E4F" w:rsidRPr="3056B187">
        <w:rPr>
          <w:rFonts w:eastAsia="Times New Roman" w:cs="Times New Roman"/>
          <w:color w:val="000000" w:themeColor="text1"/>
          <w:lang w:eastAsia="en-US"/>
        </w:rPr>
        <w:t> </w:t>
      </w:r>
      <w:r w:rsidR="00512541" w:rsidRPr="3056B187">
        <w:rPr>
          <w:rFonts w:eastAsia="Times New Roman" w:cs="Times New Roman"/>
          <w:color w:val="000000" w:themeColor="text1"/>
          <w:lang w:eastAsia="en-US"/>
        </w:rPr>
        <w:t xml:space="preserve">regionie. Obszary okołolotniskowe przeżywają intensywne przemiany na całym świecie. Trendy dywersyfikacji przychodów lotnisk oraz dążenia do skoordynowanego rozwoju regionalnego, związanego z wykorzystaniem potencjałów, są coraz szerzej obecne w literaturze i praktyce operacyjnej zarządców obszarów lotniskowych. Wiodącym współcześnie, globalnym modelem rozwoju lotnisk i ich otoczenia jest tzw. model Aerotropolis. Głównym </w:t>
      </w:r>
      <w:r w:rsidR="00512541" w:rsidRPr="3056B187">
        <w:rPr>
          <w:rFonts w:eastAsia="Times New Roman" w:cs="Times New Roman"/>
          <w:color w:val="000000" w:themeColor="text1"/>
          <w:lang w:eastAsia="en-US"/>
        </w:rPr>
        <w:lastRenderedPageBreak/>
        <w:t>założeniem tego modelu jest koncepcja, że lotniska są węzłami wspierającymi rozwój gospodarki opartej na szybkim i globalnym dostępie transportowym. Oznacza to, że czas dostępu do poszczególnych rodzajów środków transportu staje się czynnikiem wpływającym na lokalizację podmiotów gospodarczych korzystających z globalnej mobilności. Do głównych czynników napędzających rozwój regionów okołolotniskowych zalicza się przede wszystkim zwiększenie możliwości eksportowych</w:t>
      </w:r>
      <w:r w:rsidR="00987EC6" w:rsidRPr="3056B187">
        <w:rPr>
          <w:rFonts w:eastAsia="Times New Roman" w:cs="Times New Roman"/>
          <w:color w:val="000000" w:themeColor="text1"/>
          <w:lang w:eastAsia="en-US"/>
        </w:rPr>
        <w:t xml:space="preserve"> </w:t>
      </w:r>
      <w:r w:rsidR="00512541" w:rsidRPr="3056B187">
        <w:rPr>
          <w:rFonts w:eastAsia="Times New Roman" w:cs="Times New Roman"/>
          <w:color w:val="000000" w:themeColor="text1"/>
          <w:lang w:eastAsia="en-US"/>
        </w:rPr>
        <w:t>i</w:t>
      </w:r>
      <w:r w:rsidR="00987EC6" w:rsidRPr="3056B187">
        <w:rPr>
          <w:rFonts w:eastAsia="Times New Roman" w:cs="Times New Roman"/>
          <w:color w:val="000000" w:themeColor="text1"/>
          <w:lang w:eastAsia="en-US"/>
        </w:rPr>
        <w:t xml:space="preserve"> </w:t>
      </w:r>
      <w:r w:rsidR="00512541" w:rsidRPr="3056B187">
        <w:rPr>
          <w:rFonts w:eastAsia="Times New Roman" w:cs="Times New Roman"/>
          <w:color w:val="000000" w:themeColor="text1"/>
          <w:lang w:eastAsia="en-US"/>
        </w:rPr>
        <w:t>konkurowania na światowych rynkach dzięki skróconym łańcuchom dostaw związanym z bliskością portu lotniczego. W</w:t>
      </w:r>
      <w:r w:rsidR="00D03C05" w:rsidRPr="3056B187">
        <w:rPr>
          <w:rFonts w:eastAsia="Times New Roman" w:cs="Times New Roman"/>
          <w:color w:val="000000" w:themeColor="text1"/>
          <w:lang w:eastAsia="en-US"/>
        </w:rPr>
        <w:t> </w:t>
      </w:r>
      <w:r w:rsidR="00512541" w:rsidRPr="3056B187">
        <w:rPr>
          <w:rFonts w:eastAsia="Times New Roman" w:cs="Times New Roman"/>
          <w:color w:val="000000" w:themeColor="text1"/>
          <w:lang w:eastAsia="en-US"/>
        </w:rPr>
        <w:t>dobrze zarządzanych projektach lotniskowych, cechujących się wieloletnim planowaniem rozwoju, dochodzi do powstania intermodalnego węzła komunikacyjnego wokół lotniska, co długofalowo poprawia dostępność komunikacyjną regionu i przekłada się na jego rozwój gospodarczy i społeczny.</w:t>
      </w:r>
    </w:p>
    <w:p w14:paraId="226608FB" w14:textId="348F2EA4" w:rsidR="005F2DEA" w:rsidRPr="000C1849" w:rsidRDefault="00477CFB" w:rsidP="3056B187">
      <w:pPr>
        <w:widowControl/>
        <w:autoSpaceDE/>
        <w:autoSpaceDN/>
        <w:adjustRightInd/>
        <w:spacing w:before="120" w:after="120"/>
        <w:jc w:val="both"/>
        <w:rPr>
          <w:rFonts w:eastAsia="Times New Roman" w:cs="Times New Roman"/>
          <w:color w:val="000000" w:themeColor="text1"/>
          <w:lang w:eastAsia="en-US"/>
        </w:rPr>
      </w:pPr>
      <w:r w:rsidRPr="3056B187">
        <w:rPr>
          <w:rFonts w:cs="Times New Roman"/>
          <w:lang w:eastAsia="en-US"/>
        </w:rPr>
        <w:t xml:space="preserve">Strategia jest dokumentem zapewniającym koordynację kierunków rozwoju obszaru znajdującego się w bezpośrednim oddziaływaniu multimodalnego węzła transportowego, tworzonego w ramach realizacji Koncepcji CPK. </w:t>
      </w:r>
      <w:r>
        <w:t>Jest</w:t>
      </w:r>
      <w:r w:rsidR="005F2DEA">
        <w:t xml:space="preserve"> to dokument, który odnosi się do rozwoju terenu położonego najbliżej planowanego węzła transportowego CPK. Chodzi o 18 gmin: Baranów, Błonie, Brwinów, Grodzisk Mazowiecki, Jaktorów, Michałowice, Milanówek, Nowa Sucha, Ożarów Mazowiecki, Piastów, Podkowa Leśna, Pruszków, Radziejowice, Sochaczew (gmina), Sochaczew (miasto), Teresin, Wiskitki i Żyrardów. </w:t>
      </w:r>
    </w:p>
    <w:p w14:paraId="5AC4E127" w14:textId="6CEA4FE0" w:rsidR="005F2DEA" w:rsidRPr="000C1849" w:rsidRDefault="00477CFB" w:rsidP="3056B187">
      <w:pPr>
        <w:widowControl/>
        <w:autoSpaceDE/>
        <w:autoSpaceDN/>
        <w:adjustRightInd/>
        <w:spacing w:before="120" w:after="120"/>
        <w:jc w:val="both"/>
        <w:rPr>
          <w:rFonts w:cs="Times New Roman"/>
          <w:lang w:eastAsia="en-US"/>
        </w:rPr>
      </w:pPr>
      <w:r w:rsidRPr="3056B187">
        <w:rPr>
          <w:rFonts w:cs="Times New Roman"/>
          <w:lang w:eastAsia="en-US"/>
        </w:rPr>
        <w:t>Nadrzędnym</w:t>
      </w:r>
      <w:r w:rsidR="005F2DEA" w:rsidRPr="3056B187">
        <w:rPr>
          <w:rFonts w:cs="Times New Roman"/>
          <w:lang w:eastAsia="en-US"/>
        </w:rPr>
        <w:t xml:space="preserve"> </w:t>
      </w:r>
      <w:r w:rsidRPr="3056B187">
        <w:rPr>
          <w:rFonts w:cs="Times New Roman"/>
          <w:lang w:eastAsia="en-US"/>
        </w:rPr>
        <w:t>zamierzeniem</w:t>
      </w:r>
      <w:r w:rsidR="005F2DEA" w:rsidRPr="3056B187">
        <w:rPr>
          <w:rFonts w:cs="Times New Roman"/>
          <w:lang w:eastAsia="en-US"/>
        </w:rPr>
        <w:t xml:space="preserve"> </w:t>
      </w:r>
      <w:r w:rsidR="001D5C92" w:rsidRPr="3056B187">
        <w:rPr>
          <w:rFonts w:cs="Times New Roman"/>
          <w:lang w:eastAsia="en-US"/>
        </w:rPr>
        <w:t xml:space="preserve">interwencji przewidzianych Strategią </w:t>
      </w:r>
      <w:r w:rsidRPr="3056B187">
        <w:rPr>
          <w:rFonts w:cs="Times New Roman"/>
          <w:lang w:eastAsia="en-US"/>
        </w:rPr>
        <w:t>jest</w:t>
      </w:r>
      <w:r w:rsidR="005F2DEA" w:rsidRPr="3056B187">
        <w:rPr>
          <w:rFonts w:cs="Times New Roman"/>
          <w:lang w:eastAsia="en-US"/>
        </w:rPr>
        <w:t xml:space="preserve"> zapewnieni</w:t>
      </w:r>
      <w:r w:rsidRPr="3056B187">
        <w:rPr>
          <w:rFonts w:cs="Times New Roman"/>
          <w:lang w:eastAsia="en-US"/>
        </w:rPr>
        <w:t>e</w:t>
      </w:r>
      <w:r w:rsidR="005F2DEA" w:rsidRPr="3056B187">
        <w:rPr>
          <w:rFonts w:cs="Times New Roman"/>
          <w:lang w:eastAsia="en-US"/>
        </w:rPr>
        <w:t xml:space="preserve"> </w:t>
      </w:r>
      <w:r w:rsidR="007F3D38" w:rsidRPr="3056B187">
        <w:rPr>
          <w:rFonts w:cs="Times New Roman"/>
          <w:lang w:eastAsia="en-US"/>
        </w:rPr>
        <w:t>o</w:t>
      </w:r>
      <w:r w:rsidR="005F2DEA" w:rsidRPr="3056B187">
        <w:rPr>
          <w:rFonts w:cs="Times New Roman"/>
          <w:lang w:eastAsia="en-US"/>
        </w:rPr>
        <w:t xml:space="preserve">bszarowi otoczenia CPK zrównoważonego rozwoju społeczno-przestrzenno-gospodarczego, dla którego podstawowym impulsem rozwojowym pozostaje unikalne skomunikowanie. </w:t>
      </w:r>
    </w:p>
    <w:p w14:paraId="5559596F" w14:textId="38A836C4" w:rsidR="00512541" w:rsidRPr="000C1849" w:rsidRDefault="009233ED" w:rsidP="0056614D">
      <w:pPr>
        <w:jc w:val="both"/>
        <w:rPr>
          <w:lang w:eastAsia="en-US"/>
        </w:rPr>
      </w:pPr>
      <w:r w:rsidRPr="3056B187">
        <w:rPr>
          <w:rFonts w:cs="Times New Roman"/>
          <w:color w:val="000000"/>
          <w:shd w:val="clear" w:color="auto" w:fill="FFFFFF"/>
          <w:lang w:eastAsia="en-US"/>
        </w:rPr>
        <w:t xml:space="preserve">W Strategii zdefiniowano trzy główne cele. Pierwszy z nich „Rozwój gospodarczy – wzrost konkurencyjności przedsiębiorstw” dotyczy rozwoju gospodarczego obszaru otoczenia CPK jako terenu atrakcyjnego dla inwestorów m.in. ze względu na potencjał transportowo-logistyczny, przy jednoczesnym zapewnieniu sprawnego działania administracji publicznej jako fundamentu strategicznych działań na tym terenie. Drugi „Atrakcyjne miejsce do życia” skupia się na stworzeniu możliwie przyjaznych warunków do życia, wykorzystując pojawiające się nowe możliwości i minimalizując uciążliwość inwestycji w obszarze CPK, przy jednoczesnym rozwoju w oparciu o kulturę, dziedzictwo i rekreację. Trzeci cel „Przyjazna przestrzeń” zakłada działania na rzecz zwartej i optymalnie zaprojektowanej przestrzeni, przy jednoczesnym zapewnieniu ochrony środowiska i wspieraniu zrównoważonej mobilności. </w:t>
      </w:r>
      <w:r w:rsidR="00512541" w:rsidRPr="3056B187">
        <w:rPr>
          <w:rFonts w:cs="Times New Roman"/>
          <w:color w:val="000000"/>
          <w:shd w:val="clear" w:color="auto" w:fill="FFFFFF"/>
          <w:lang w:eastAsia="en-US"/>
        </w:rPr>
        <w:t xml:space="preserve">Inicjatywy strategiczne, które są elementem wdrożeniowym Strategii, będą uwzględniały </w:t>
      </w:r>
      <w:r w:rsidR="00512541" w:rsidRPr="3056B187">
        <w:rPr>
          <w:rFonts w:cs="Times New Roman"/>
          <w:color w:val="000000"/>
          <w:shd w:val="clear" w:color="auto" w:fill="FFFFFF"/>
          <w:lang w:eastAsia="en-US"/>
        </w:rPr>
        <w:lastRenderedPageBreak/>
        <w:t xml:space="preserve">zarówno potrzebę przeciwdziałania niekorzystnym zjawiskom związanym z intensywnym rozwojem infrastruktury, jak również wykorzystania szans dla mieszkańców, władz samorządów oraz przedsiębiorców z tego </w:t>
      </w:r>
      <w:r w:rsidR="00512541" w:rsidRPr="000C1849">
        <w:rPr>
          <w:lang w:eastAsia="en-US"/>
        </w:rPr>
        <w:t>obszaru.</w:t>
      </w:r>
    </w:p>
    <w:p w14:paraId="7547A272" w14:textId="1C9D91C9" w:rsidR="0056614D" w:rsidRPr="000C1849" w:rsidRDefault="001D5C92" w:rsidP="00184DFA">
      <w:pPr>
        <w:spacing w:before="240" w:after="240"/>
        <w:jc w:val="both"/>
      </w:pPr>
      <w:r>
        <w:t>Elementem Strategi</w:t>
      </w:r>
      <w:r w:rsidR="0056614D">
        <w:t>i</w:t>
      </w:r>
      <w:r>
        <w:t xml:space="preserve"> jest </w:t>
      </w:r>
      <w:r w:rsidR="0056614D">
        <w:t>model struktury</w:t>
      </w:r>
      <w:r w:rsidR="00CA7716">
        <w:t xml:space="preserve"> </w:t>
      </w:r>
      <w:r w:rsidR="0056614D">
        <w:t>funkcjonalno-przestrzennej regionu. Model zawiera informacje o kluczowych regionalnych powiązaniach przestrzennych, strategicznych inwestycjach infrastrukturalnych. U</w:t>
      </w:r>
      <w:r w:rsidR="00F51556">
        <w:t>stawa o</w:t>
      </w:r>
      <w:r w:rsidR="0056614D">
        <w:t xml:space="preserve"> CPK zakłada, że ustalenia dla Strategii w wymiarze przestrzennym sporządza się w formie opracowania planistycznego, stanowiącego jej integralną część, składającego się z części tekstowej i graficznej. Załącznik ten pozwoli na przedstawienie skutków przestrzennych celów strategicznych i operacyjnych ujętych w</w:t>
      </w:r>
      <w:r w:rsidR="00851381">
        <w:t> </w:t>
      </w:r>
      <w:r w:rsidR="0056614D">
        <w:t xml:space="preserve">Strategii. </w:t>
      </w:r>
    </w:p>
    <w:p w14:paraId="6BB5867B" w14:textId="673EEC9C" w:rsidR="00512541" w:rsidRPr="000C1849" w:rsidRDefault="00512541" w:rsidP="0056614D">
      <w:pPr>
        <w:widowControl/>
        <w:autoSpaceDE/>
        <w:autoSpaceDN/>
        <w:adjustRightInd/>
        <w:spacing w:before="240" w:after="120"/>
        <w:jc w:val="both"/>
        <w:rPr>
          <w:rFonts w:eastAsia="Times New Roman" w:cs="Times New Roman"/>
          <w:color w:val="000000" w:themeColor="text1"/>
          <w:szCs w:val="24"/>
          <w:lang w:eastAsia="en-US"/>
        </w:rPr>
      </w:pPr>
      <w:r w:rsidRPr="000C1849">
        <w:rPr>
          <w:rFonts w:eastAsia="Times New Roman" w:cs="Times New Roman"/>
          <w:color w:val="000000" w:themeColor="text1"/>
          <w:szCs w:val="24"/>
          <w:lang w:eastAsia="en-US"/>
        </w:rPr>
        <w:t xml:space="preserve">W zakresie wpływu regulacji na funkcjonowanie mikro-, małych i średnich przedsiębiorstw należy wskazać na jednoznacznie </w:t>
      </w:r>
      <w:r w:rsidR="00637D4A" w:rsidRPr="000C1849">
        <w:rPr>
          <w:rFonts w:eastAsia="Times New Roman" w:cs="Times New Roman"/>
          <w:color w:val="000000" w:themeColor="text1"/>
          <w:szCs w:val="24"/>
          <w:lang w:eastAsia="en-US"/>
        </w:rPr>
        <w:t xml:space="preserve">pozytywny </w:t>
      </w:r>
      <w:r w:rsidRPr="000C1849">
        <w:rPr>
          <w:rFonts w:eastAsia="Times New Roman" w:cs="Times New Roman"/>
          <w:color w:val="000000" w:themeColor="text1"/>
          <w:szCs w:val="24"/>
          <w:lang w:eastAsia="en-US"/>
        </w:rPr>
        <w:t>wymiar projektu</w:t>
      </w:r>
      <w:r w:rsidR="00637D4A" w:rsidRPr="000C1849">
        <w:rPr>
          <w:rFonts w:eastAsia="Times New Roman" w:cs="Times New Roman"/>
          <w:color w:val="000000" w:themeColor="text1"/>
          <w:szCs w:val="24"/>
          <w:lang w:eastAsia="en-US"/>
        </w:rPr>
        <w:t>, związany ze skupieniem wiązki działań rozwojowych w ujęciu terytorialnym, co przyniesie wymierne efekty społeczno-gospodarcze dla wszystkich grup społecznych.</w:t>
      </w:r>
    </w:p>
    <w:p w14:paraId="2DF50104" w14:textId="77777777" w:rsidR="00512541" w:rsidRPr="000C1849" w:rsidRDefault="00512541" w:rsidP="00512541">
      <w:pPr>
        <w:widowControl/>
        <w:autoSpaceDE/>
        <w:autoSpaceDN/>
        <w:adjustRightInd/>
        <w:spacing w:after="120"/>
        <w:jc w:val="both"/>
        <w:rPr>
          <w:rFonts w:eastAsia="Times New Roman" w:cs="Times New Roman"/>
          <w:color w:val="000000" w:themeColor="text1"/>
          <w:szCs w:val="24"/>
          <w:lang w:eastAsia="en-US"/>
        </w:rPr>
      </w:pPr>
      <w:r w:rsidRPr="000C1849">
        <w:rPr>
          <w:rFonts w:eastAsia="Times New Roman" w:cs="Times New Roman"/>
          <w:color w:val="000000" w:themeColor="text1"/>
          <w:szCs w:val="24"/>
          <w:lang w:eastAsia="en-US"/>
        </w:rPr>
        <w:t>Projekt nie jest objęty zakresem prawa Unii Europejskiej.</w:t>
      </w:r>
    </w:p>
    <w:p w14:paraId="2B34B253" w14:textId="77777777" w:rsidR="00512541" w:rsidRPr="000C1849" w:rsidRDefault="00512541" w:rsidP="00512541">
      <w:pPr>
        <w:widowControl/>
        <w:autoSpaceDE/>
        <w:autoSpaceDN/>
        <w:adjustRightInd/>
        <w:spacing w:after="120"/>
        <w:jc w:val="both"/>
        <w:rPr>
          <w:rFonts w:eastAsia="Times New Roman" w:cs="Times New Roman"/>
          <w:color w:val="000000" w:themeColor="text1"/>
          <w:szCs w:val="24"/>
          <w:lang w:eastAsia="en-US"/>
        </w:rPr>
      </w:pPr>
      <w:r w:rsidRPr="000C1849">
        <w:rPr>
          <w:rFonts w:eastAsia="Times New Roman" w:cs="Times New Roman"/>
          <w:color w:val="000000" w:themeColor="text1"/>
          <w:szCs w:val="24"/>
          <w:lang w:eastAsia="en-US"/>
        </w:rPr>
        <w:t>Projekt nie podlega procedurze notyfikacji zgodnie z trybem przewidzianym w rozporządzeniu Rady Ministrów z dnia 23 grudnia 2002 r. w sprawie sposobu funkcjonowania krajowego systemu notyfikacji norm i aktów prawnych (Dz. U. poz. 2039, z późn. zm.).</w:t>
      </w:r>
    </w:p>
    <w:p w14:paraId="4EF0C1B6" w14:textId="358A1122" w:rsidR="00D743F7" w:rsidRDefault="00512541" w:rsidP="3056B187">
      <w:pPr>
        <w:widowControl/>
        <w:autoSpaceDE/>
        <w:autoSpaceDN/>
        <w:adjustRightInd/>
        <w:spacing w:after="120"/>
        <w:jc w:val="both"/>
        <w:rPr>
          <w:rFonts w:eastAsia="Times New Roman" w:cs="Times New Roman"/>
          <w:color w:val="000000" w:themeColor="text1"/>
          <w:lang w:eastAsia="en-US"/>
        </w:rPr>
      </w:pPr>
      <w:r w:rsidRPr="3056B187">
        <w:rPr>
          <w:rFonts w:eastAsia="Times New Roman" w:cs="Times New Roman"/>
          <w:color w:val="000000" w:themeColor="text1"/>
          <w:lang w:eastAsia="en-US"/>
        </w:rPr>
        <w:t>Projekt nie podlega obowiązkowi uzyskania opinii organów i instytucji Unii Europejskiej, w tym Europejskiego Banku Centralnego, o którym mowa w § 39 uchwały nr 190 Rady Ministrów z dnia 29 października 2013 r. – Regulamin pracy Rady Ministrów (M.P. z 202</w:t>
      </w:r>
      <w:r w:rsidR="00512324" w:rsidRPr="3056B187">
        <w:rPr>
          <w:rFonts w:eastAsia="Times New Roman" w:cs="Times New Roman"/>
          <w:color w:val="000000" w:themeColor="text1"/>
          <w:lang w:eastAsia="en-US"/>
        </w:rPr>
        <w:t>4</w:t>
      </w:r>
      <w:r w:rsidRPr="3056B187">
        <w:rPr>
          <w:rFonts w:eastAsia="Times New Roman" w:cs="Times New Roman"/>
          <w:color w:val="000000" w:themeColor="text1"/>
          <w:lang w:eastAsia="en-US"/>
        </w:rPr>
        <w:t xml:space="preserve"> r. poz. </w:t>
      </w:r>
      <w:r w:rsidR="00512324" w:rsidRPr="3056B187">
        <w:rPr>
          <w:rFonts w:eastAsia="Times New Roman" w:cs="Times New Roman"/>
          <w:color w:val="000000" w:themeColor="text1"/>
          <w:lang w:eastAsia="en-US"/>
        </w:rPr>
        <w:t>806</w:t>
      </w:r>
      <w:r w:rsidRPr="3056B187">
        <w:rPr>
          <w:rFonts w:eastAsia="Times New Roman" w:cs="Times New Roman"/>
          <w:color w:val="000000" w:themeColor="text1"/>
          <w:lang w:eastAsia="en-US"/>
        </w:rPr>
        <w:t>)</w:t>
      </w:r>
      <w:r w:rsidR="003A1826" w:rsidRPr="3056B187">
        <w:rPr>
          <w:rFonts w:eastAsia="Times New Roman" w:cs="Times New Roman"/>
          <w:color w:val="000000" w:themeColor="text1"/>
          <w:lang w:eastAsia="en-US"/>
        </w:rPr>
        <w:t>.</w:t>
      </w:r>
    </w:p>
    <w:p w14:paraId="676EE22C" w14:textId="6E0501B5" w:rsidR="00DE4A2B" w:rsidRDefault="00DE4A2B" w:rsidP="005072D7">
      <w:pPr>
        <w:widowControl/>
        <w:autoSpaceDE/>
        <w:autoSpaceDN/>
        <w:adjustRightInd/>
        <w:spacing w:after="120"/>
        <w:jc w:val="both"/>
      </w:pPr>
      <w:r w:rsidRPr="00DE4A2B">
        <w:t>Jednocześnie należy wskazać, że nie ma możliwości podjęcia alternatywnych w stosunku do projektowanej uchwały środków umożliwiających osiągnięcie zamierzonego celu.</w:t>
      </w:r>
    </w:p>
    <w:p w14:paraId="511F76BD" w14:textId="48DA6EBB" w:rsidR="00A51FFF" w:rsidRDefault="00A51FFF" w:rsidP="005072D7">
      <w:pPr>
        <w:widowControl/>
        <w:autoSpaceDE/>
        <w:autoSpaceDN/>
        <w:adjustRightInd/>
        <w:spacing w:after="120"/>
        <w:jc w:val="both"/>
      </w:pPr>
      <w:r w:rsidRPr="00A51FFF">
        <w:t xml:space="preserve">Planuje się, że projektowana uchwała wejdzie w życie z dniem następującym po dniu </w:t>
      </w:r>
      <w:r w:rsidR="00A94397">
        <w:t>ogłoszenia</w:t>
      </w:r>
      <w:r w:rsidRPr="00A51FFF">
        <w:t>.</w:t>
      </w:r>
    </w:p>
    <w:p w14:paraId="7ED6E4AE" w14:textId="77777777" w:rsidR="00C343D2" w:rsidRDefault="00C343D2" w:rsidP="005072D7">
      <w:pPr>
        <w:widowControl/>
        <w:autoSpaceDE/>
        <w:autoSpaceDN/>
        <w:adjustRightInd/>
        <w:spacing w:after="120"/>
        <w:jc w:val="both"/>
      </w:pPr>
    </w:p>
    <w:sectPr w:rsidR="00C343D2" w:rsidSect="003048A4">
      <w:headerReference w:type="default" r:id="rId7"/>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4C80A" w14:textId="77777777" w:rsidR="00E52385" w:rsidRDefault="00E52385">
      <w:pPr>
        <w:spacing w:line="240" w:lineRule="auto"/>
      </w:pPr>
      <w:r>
        <w:separator/>
      </w:r>
    </w:p>
  </w:endnote>
  <w:endnote w:type="continuationSeparator" w:id="0">
    <w:p w14:paraId="3D8DD432" w14:textId="77777777" w:rsidR="00E52385" w:rsidRDefault="00E52385">
      <w:pPr>
        <w:spacing w:line="240" w:lineRule="auto"/>
      </w:pPr>
      <w:r>
        <w:continuationSeparator/>
      </w:r>
    </w:p>
  </w:endnote>
  <w:endnote w:type="continuationNotice" w:id="1">
    <w:p w14:paraId="29ABA334" w14:textId="77777777" w:rsidR="00E52385" w:rsidRDefault="00E5238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Times">
    <w:panose1 w:val="02020603050405020304"/>
    <w:charset w:val="EE"/>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4ABAA" w14:textId="77777777" w:rsidR="00E52385" w:rsidRDefault="00E52385">
      <w:pPr>
        <w:spacing w:line="240" w:lineRule="auto"/>
      </w:pPr>
      <w:r>
        <w:separator/>
      </w:r>
    </w:p>
  </w:footnote>
  <w:footnote w:type="continuationSeparator" w:id="0">
    <w:p w14:paraId="6D332B61" w14:textId="77777777" w:rsidR="00E52385" w:rsidRDefault="00E52385">
      <w:pPr>
        <w:spacing w:line="240" w:lineRule="auto"/>
      </w:pPr>
      <w:r>
        <w:continuationSeparator/>
      </w:r>
    </w:p>
  </w:footnote>
  <w:footnote w:type="continuationNotice" w:id="1">
    <w:p w14:paraId="1EA05F6E" w14:textId="77777777" w:rsidR="00E52385" w:rsidRDefault="00E5238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FA8F0" w14:textId="77777777" w:rsidR="003048A4" w:rsidRPr="00B371CC" w:rsidRDefault="005072D7" w:rsidP="003048A4">
    <w:pPr>
      <w:pStyle w:val="Nagwek"/>
      <w:jc w:val="center"/>
    </w:pPr>
    <w:r>
      <w:t xml:space="preserve">– </w:t>
    </w:r>
    <w:r>
      <w:fldChar w:fldCharType="begin"/>
    </w:r>
    <w:r>
      <w:instrText xml:space="preserve"> PAGE  \* MERGEFORMAT </w:instrText>
    </w:r>
    <w:r>
      <w:fldChar w:fldCharType="separate"/>
    </w:r>
    <w:r>
      <w:rPr>
        <w:noProof/>
      </w:rPr>
      <w:t>3</w:t>
    </w:r>
    <w:r>
      <w:rPr>
        <w:noProof/>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8CF7B2"/>
    <w:multiLevelType w:val="hybridMultilevel"/>
    <w:tmpl w:val="420297F6"/>
    <w:lvl w:ilvl="0" w:tplc="3F421CD0">
      <w:start w:val="1"/>
      <w:numFmt w:val="decimal"/>
      <w:lvlText w:val="%1)"/>
      <w:lvlJc w:val="left"/>
      <w:pPr>
        <w:ind w:left="720" w:hanging="360"/>
      </w:pPr>
    </w:lvl>
    <w:lvl w:ilvl="1" w:tplc="DADCDD50">
      <w:start w:val="1"/>
      <w:numFmt w:val="lowerLetter"/>
      <w:lvlText w:val="%2."/>
      <w:lvlJc w:val="left"/>
      <w:pPr>
        <w:ind w:left="1440" w:hanging="360"/>
      </w:pPr>
    </w:lvl>
    <w:lvl w:ilvl="2" w:tplc="F7A4FB78">
      <w:start w:val="1"/>
      <w:numFmt w:val="lowerRoman"/>
      <w:lvlText w:val="%3."/>
      <w:lvlJc w:val="right"/>
      <w:pPr>
        <w:ind w:left="2160" w:hanging="180"/>
      </w:pPr>
    </w:lvl>
    <w:lvl w:ilvl="3" w:tplc="DA4661C2">
      <w:start w:val="1"/>
      <w:numFmt w:val="decimal"/>
      <w:lvlText w:val="%4."/>
      <w:lvlJc w:val="left"/>
      <w:pPr>
        <w:ind w:left="2880" w:hanging="360"/>
      </w:pPr>
    </w:lvl>
    <w:lvl w:ilvl="4" w:tplc="C90A312E">
      <w:start w:val="1"/>
      <w:numFmt w:val="lowerLetter"/>
      <w:lvlText w:val="%5."/>
      <w:lvlJc w:val="left"/>
      <w:pPr>
        <w:ind w:left="3600" w:hanging="360"/>
      </w:pPr>
    </w:lvl>
    <w:lvl w:ilvl="5" w:tplc="32E60FF2">
      <w:start w:val="1"/>
      <w:numFmt w:val="lowerRoman"/>
      <w:lvlText w:val="%6."/>
      <w:lvlJc w:val="right"/>
      <w:pPr>
        <w:ind w:left="4320" w:hanging="180"/>
      </w:pPr>
    </w:lvl>
    <w:lvl w:ilvl="6" w:tplc="17A43688">
      <w:start w:val="1"/>
      <w:numFmt w:val="decimal"/>
      <w:lvlText w:val="%7."/>
      <w:lvlJc w:val="left"/>
      <w:pPr>
        <w:ind w:left="5040" w:hanging="360"/>
      </w:pPr>
    </w:lvl>
    <w:lvl w:ilvl="7" w:tplc="69BCBA4E">
      <w:start w:val="1"/>
      <w:numFmt w:val="lowerLetter"/>
      <w:lvlText w:val="%8."/>
      <w:lvlJc w:val="left"/>
      <w:pPr>
        <w:ind w:left="5760" w:hanging="360"/>
      </w:pPr>
    </w:lvl>
    <w:lvl w:ilvl="8" w:tplc="E6D2A942">
      <w:start w:val="1"/>
      <w:numFmt w:val="lowerRoman"/>
      <w:lvlText w:val="%9."/>
      <w:lvlJc w:val="right"/>
      <w:pPr>
        <w:ind w:left="6480" w:hanging="180"/>
      </w:pPr>
    </w:lvl>
  </w:abstractNum>
  <w:num w:numId="1" w16cid:durableId="30418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trackRevisions/>
  <w:defaultTabStop w:val="708"/>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41F"/>
    <w:rsid w:val="0001141F"/>
    <w:rsid w:val="000430FB"/>
    <w:rsid w:val="0004693D"/>
    <w:rsid w:val="00046A45"/>
    <w:rsid w:val="00072C23"/>
    <w:rsid w:val="0009246E"/>
    <w:rsid w:val="000A0572"/>
    <w:rsid w:val="000A7096"/>
    <w:rsid w:val="000B1CFF"/>
    <w:rsid w:val="000C1849"/>
    <w:rsid w:val="00120355"/>
    <w:rsid w:val="00122C01"/>
    <w:rsid w:val="0013457B"/>
    <w:rsid w:val="00137FB3"/>
    <w:rsid w:val="00150B84"/>
    <w:rsid w:val="00154D8F"/>
    <w:rsid w:val="00165DE0"/>
    <w:rsid w:val="0017149B"/>
    <w:rsid w:val="00184673"/>
    <w:rsid w:val="00184DFA"/>
    <w:rsid w:val="001940D8"/>
    <w:rsid w:val="001D5C92"/>
    <w:rsid w:val="00215A0C"/>
    <w:rsid w:val="00230C2F"/>
    <w:rsid w:val="00232883"/>
    <w:rsid w:val="002373C9"/>
    <w:rsid w:val="0025482F"/>
    <w:rsid w:val="00257C76"/>
    <w:rsid w:val="002A7CDD"/>
    <w:rsid w:val="003048A4"/>
    <w:rsid w:val="003063B3"/>
    <w:rsid w:val="00307801"/>
    <w:rsid w:val="00343401"/>
    <w:rsid w:val="0037041E"/>
    <w:rsid w:val="0037349B"/>
    <w:rsid w:val="003A1826"/>
    <w:rsid w:val="003A524D"/>
    <w:rsid w:val="003B1CC1"/>
    <w:rsid w:val="003B782C"/>
    <w:rsid w:val="003E1E09"/>
    <w:rsid w:val="003F7A1B"/>
    <w:rsid w:val="0040590E"/>
    <w:rsid w:val="004070CC"/>
    <w:rsid w:val="00434F65"/>
    <w:rsid w:val="0044574E"/>
    <w:rsid w:val="00476E4F"/>
    <w:rsid w:val="00477CFB"/>
    <w:rsid w:val="004C7815"/>
    <w:rsid w:val="004E259A"/>
    <w:rsid w:val="004F66BB"/>
    <w:rsid w:val="005072D7"/>
    <w:rsid w:val="0050765F"/>
    <w:rsid w:val="00512324"/>
    <w:rsid w:val="00512541"/>
    <w:rsid w:val="00557BC7"/>
    <w:rsid w:val="0056614D"/>
    <w:rsid w:val="005927E7"/>
    <w:rsid w:val="00594395"/>
    <w:rsid w:val="005C7C56"/>
    <w:rsid w:val="005F2DEA"/>
    <w:rsid w:val="00606884"/>
    <w:rsid w:val="006143B5"/>
    <w:rsid w:val="00637D4A"/>
    <w:rsid w:val="00650DF3"/>
    <w:rsid w:val="006537F0"/>
    <w:rsid w:val="00680478"/>
    <w:rsid w:val="006C2787"/>
    <w:rsid w:val="006D4F0E"/>
    <w:rsid w:val="006F0203"/>
    <w:rsid w:val="006F6A70"/>
    <w:rsid w:val="007219A5"/>
    <w:rsid w:val="007279BF"/>
    <w:rsid w:val="007713E6"/>
    <w:rsid w:val="00783D0B"/>
    <w:rsid w:val="00787250"/>
    <w:rsid w:val="00793371"/>
    <w:rsid w:val="0079577C"/>
    <w:rsid w:val="00796795"/>
    <w:rsid w:val="007F3D38"/>
    <w:rsid w:val="007F6E16"/>
    <w:rsid w:val="00835FC2"/>
    <w:rsid w:val="00851381"/>
    <w:rsid w:val="00887800"/>
    <w:rsid w:val="008F39CB"/>
    <w:rsid w:val="00922CB5"/>
    <w:rsid w:val="009233ED"/>
    <w:rsid w:val="00927D8C"/>
    <w:rsid w:val="00955FEA"/>
    <w:rsid w:val="00987EC6"/>
    <w:rsid w:val="00994482"/>
    <w:rsid w:val="009A06EC"/>
    <w:rsid w:val="009F3449"/>
    <w:rsid w:val="00A0023F"/>
    <w:rsid w:val="00A46A5F"/>
    <w:rsid w:val="00A51FFF"/>
    <w:rsid w:val="00A572BC"/>
    <w:rsid w:val="00A94397"/>
    <w:rsid w:val="00AB4EA3"/>
    <w:rsid w:val="00AB56DC"/>
    <w:rsid w:val="00AC29BE"/>
    <w:rsid w:val="00AD02CF"/>
    <w:rsid w:val="00B068E2"/>
    <w:rsid w:val="00B36167"/>
    <w:rsid w:val="00B95D64"/>
    <w:rsid w:val="00BD44CF"/>
    <w:rsid w:val="00BD7E62"/>
    <w:rsid w:val="00BF7D32"/>
    <w:rsid w:val="00C00AA2"/>
    <w:rsid w:val="00C078FC"/>
    <w:rsid w:val="00C23483"/>
    <w:rsid w:val="00C343D2"/>
    <w:rsid w:val="00C6551A"/>
    <w:rsid w:val="00CA7716"/>
    <w:rsid w:val="00CD245A"/>
    <w:rsid w:val="00D03C05"/>
    <w:rsid w:val="00D25E7D"/>
    <w:rsid w:val="00D43A60"/>
    <w:rsid w:val="00D743F7"/>
    <w:rsid w:val="00D83E05"/>
    <w:rsid w:val="00DA653A"/>
    <w:rsid w:val="00DE26A6"/>
    <w:rsid w:val="00DE4A2B"/>
    <w:rsid w:val="00E071F0"/>
    <w:rsid w:val="00E25FA5"/>
    <w:rsid w:val="00E52385"/>
    <w:rsid w:val="00E62DB2"/>
    <w:rsid w:val="00E64DAD"/>
    <w:rsid w:val="00E650DD"/>
    <w:rsid w:val="00EE2A0C"/>
    <w:rsid w:val="00EE3A15"/>
    <w:rsid w:val="00F005EC"/>
    <w:rsid w:val="00F16EFE"/>
    <w:rsid w:val="00F51556"/>
    <w:rsid w:val="00F561DF"/>
    <w:rsid w:val="00F66998"/>
    <w:rsid w:val="00F9663F"/>
    <w:rsid w:val="00FF4EDE"/>
    <w:rsid w:val="3056B187"/>
    <w:rsid w:val="46C8E0FE"/>
    <w:rsid w:val="5FBE712B"/>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EFF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141F"/>
    <w:pPr>
      <w:widowControl w:val="0"/>
      <w:autoSpaceDE w:val="0"/>
      <w:autoSpaceDN w:val="0"/>
      <w:adjustRightInd w:val="0"/>
      <w:spacing w:after="0" w:line="360" w:lineRule="auto"/>
    </w:pPr>
    <w:rPr>
      <w:rFonts w:ascii="Times New Roman" w:eastAsiaTheme="minorEastAsia" w:hAnsi="Times New Roman" w:cs="Arial"/>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rsid w:val="0001141F"/>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basedOn w:val="Domylnaczcionkaakapitu"/>
    <w:link w:val="Nagwek"/>
    <w:uiPriority w:val="99"/>
    <w:semiHidden/>
    <w:rsid w:val="0001141F"/>
    <w:rPr>
      <w:rFonts w:ascii="Times" w:eastAsia="Times New Roman" w:hAnsi="Times" w:cs="Times New Roman"/>
      <w:kern w:val="1"/>
      <w:sz w:val="24"/>
      <w:szCs w:val="24"/>
      <w:lang w:eastAsia="ar-SA"/>
    </w:rPr>
  </w:style>
  <w:style w:type="paragraph" w:customStyle="1" w:styleId="TEKSTZacznikido">
    <w:name w:val="TEKST&quot;Załącznik(i) do ...&quot;"/>
    <w:uiPriority w:val="28"/>
    <w:qFormat/>
    <w:rsid w:val="0001141F"/>
    <w:pPr>
      <w:keepNext/>
      <w:spacing w:after="240" w:line="240" w:lineRule="auto"/>
      <w:ind w:left="5670"/>
      <w:contextualSpacing/>
    </w:pPr>
    <w:rPr>
      <w:rFonts w:ascii="Times New Roman" w:eastAsiaTheme="minorEastAsia" w:hAnsi="Times New Roman" w:cs="Arial"/>
      <w:sz w:val="24"/>
      <w:szCs w:val="20"/>
      <w:lang w:eastAsia="pl-PL"/>
    </w:rPr>
  </w:style>
  <w:style w:type="paragraph" w:styleId="Poprawka">
    <w:name w:val="Revision"/>
    <w:hidden/>
    <w:uiPriority w:val="99"/>
    <w:semiHidden/>
    <w:rsid w:val="00B36167"/>
    <w:pPr>
      <w:spacing w:after="0" w:line="240" w:lineRule="auto"/>
    </w:pPr>
    <w:rPr>
      <w:rFonts w:ascii="Times New Roman" w:eastAsiaTheme="minorEastAsia" w:hAnsi="Times New Roman" w:cs="Arial"/>
      <w:sz w:val="24"/>
      <w:szCs w:val="20"/>
      <w:lang w:eastAsia="pl-PL"/>
    </w:rPr>
  </w:style>
  <w:style w:type="character" w:styleId="Odwoaniedokomentarza">
    <w:name w:val="annotation reference"/>
    <w:basedOn w:val="Domylnaczcionkaakapitu"/>
    <w:uiPriority w:val="99"/>
    <w:semiHidden/>
    <w:unhideWhenUsed/>
    <w:rsid w:val="00232883"/>
    <w:rPr>
      <w:sz w:val="16"/>
      <w:szCs w:val="16"/>
    </w:rPr>
  </w:style>
  <w:style w:type="paragraph" w:styleId="Tekstkomentarza">
    <w:name w:val="annotation text"/>
    <w:basedOn w:val="Normalny"/>
    <w:link w:val="TekstkomentarzaZnak"/>
    <w:uiPriority w:val="99"/>
    <w:unhideWhenUsed/>
    <w:rsid w:val="00232883"/>
    <w:pPr>
      <w:spacing w:line="240" w:lineRule="auto"/>
    </w:pPr>
    <w:rPr>
      <w:sz w:val="20"/>
    </w:rPr>
  </w:style>
  <w:style w:type="character" w:customStyle="1" w:styleId="TekstkomentarzaZnak">
    <w:name w:val="Tekst komentarza Znak"/>
    <w:basedOn w:val="Domylnaczcionkaakapitu"/>
    <w:link w:val="Tekstkomentarza"/>
    <w:uiPriority w:val="99"/>
    <w:rsid w:val="00232883"/>
    <w:rPr>
      <w:rFonts w:ascii="Times New Roman" w:eastAsiaTheme="minorEastAsia" w:hAnsi="Times New Roman"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232883"/>
    <w:rPr>
      <w:b/>
      <w:bCs/>
    </w:rPr>
  </w:style>
  <w:style w:type="character" w:customStyle="1" w:styleId="TematkomentarzaZnak">
    <w:name w:val="Temat komentarza Znak"/>
    <w:basedOn w:val="TekstkomentarzaZnak"/>
    <w:link w:val="Tematkomentarza"/>
    <w:uiPriority w:val="99"/>
    <w:semiHidden/>
    <w:rsid w:val="00232883"/>
    <w:rPr>
      <w:rFonts w:ascii="Times New Roman" w:eastAsiaTheme="minorEastAsia" w:hAnsi="Times New Roman" w:cs="Arial"/>
      <w:b/>
      <w:bCs/>
      <w:sz w:val="20"/>
      <w:szCs w:val="20"/>
      <w:lang w:eastAsia="pl-PL"/>
    </w:rPr>
  </w:style>
  <w:style w:type="paragraph" w:styleId="Stopka">
    <w:name w:val="footer"/>
    <w:basedOn w:val="Normalny"/>
    <w:link w:val="StopkaZnak"/>
    <w:uiPriority w:val="99"/>
    <w:unhideWhenUsed/>
    <w:rsid w:val="00C00AA2"/>
    <w:pPr>
      <w:tabs>
        <w:tab w:val="center" w:pos="4536"/>
        <w:tab w:val="right" w:pos="9072"/>
      </w:tabs>
      <w:spacing w:line="240" w:lineRule="auto"/>
    </w:pPr>
  </w:style>
  <w:style w:type="character" w:customStyle="1" w:styleId="StopkaZnak">
    <w:name w:val="Stopka Znak"/>
    <w:basedOn w:val="Domylnaczcionkaakapitu"/>
    <w:link w:val="Stopka"/>
    <w:uiPriority w:val="99"/>
    <w:rsid w:val="00C00AA2"/>
    <w:rPr>
      <w:rFonts w:ascii="Times New Roman" w:eastAsiaTheme="minorEastAsia" w:hAnsi="Times New Roman" w:cs="Arial"/>
      <w:sz w:val="24"/>
      <w:szCs w:val="20"/>
      <w:lang w:eastAsia="pl-PL"/>
    </w:rPr>
  </w:style>
  <w:style w:type="character" w:styleId="Wzmianka">
    <w:name w:val="Mention"/>
    <w:basedOn w:val="Domylnaczcionkaakapitu"/>
    <w:uiPriority w:val="99"/>
    <w:unhideWhenUsed/>
    <w:rsid w:val="0004693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1021</Words>
  <Characters>6132</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2025-03-14T17:17:00Z</dcterms:created>
  <dcterms:modified xsi:type="dcterms:W3CDTF">2025-03-14T17:17:00Z</dcterms:modified>
</cp:coreProperties>
</file>